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drawing>
          <wp:inline xmlns:a="http://schemas.openxmlformats.org/drawingml/2006/main" xmlns:pic="http://schemas.openxmlformats.org/drawingml/2006/picture">
            <wp:extent cx="6263640" cy="3523298"/>
            <wp:docPr id="1" name="Picture 1" descr="Image: image2.png"/>
            <wp:cNvGraphicFramePr>
              <a:graphicFrameLocks noChangeAspect="1"/>
            </wp:cNvGraphicFramePr>
            <a:graphic>
              <a:graphicData uri="http://schemas.openxmlformats.org/drawingml/2006/picture">
                <pic:pic>
                  <pic:nvPicPr>
                    <pic:cNvPr id="0" name="cover_hero.png"/>
                    <pic:cNvPicPr/>
                  </pic:nvPicPr>
                  <pic:blipFill>
                    <a:blip r:embed="rId11"/>
                    <a:stretch>
                      <a:fillRect/>
                    </a:stretch>
                  </pic:blipFill>
                  <pic:spPr>
                    <a:xfrm>
                      <a:off x="0" y="0"/>
                      <a:ext cx="6263640" cy="3523298"/>
                    </a:xfrm>
                    <a:prstGeom prst="rect"/>
                  </pic:spPr>
                </pic:pic>
              </a:graphicData>
            </a:graphic>
          </wp:inline>
        </w:drawing>
      </w:r>
    </w:p>
    <w:tbl>
      <w:tblPr>
        <w:tblW w:type="auto" w:w="0"/>
        <w:tblLook w:firstColumn="1" w:firstRow="1" w:lastColumn="0" w:lastRow="0" w:noHBand="0" w:noVBand="1" w:val="04A0"/>
      </w:tblPr>
      <w:tblGrid>
        <w:gridCol w:w="10166"/>
      </w:tblGrid>
      <w:tr>
        <w:tc>
          <w:tcPr>
            <w:tcW w:type="dxa" w:w="10166"/>
            <w:shd w:fill="17191D"/>
            <w:tcMar>
              <w:top w:w="190" w:type="dxa"/>
              <w:start w:w="220" w:type="dxa"/>
              <w:bottom w:w="205" w:type="dxa"/>
              <w:end w:w="220" w:type="dxa"/>
            </w:tcMar>
          </w:tcPr>
          <w:p>
            <w:pPr>
              <w:spacing w:after="80"/>
            </w:pPr>
            <w:r/>
            <w:r>
              <w:rPr>
                <w:rFonts w:ascii="Lato" w:hAnsi="Lato"/>
                <w:b/>
                <w:color w:val="11B8C0"/>
                <w:sz w:val="18"/>
              </w:rPr>
              <w:t>MUSE PLATFORMS</w:t>
            </w:r>
          </w:p>
          <w:p>
            <w:pPr>
              <w:spacing w:after="60"/>
            </w:pPr>
            <w:r>
              <w:rPr>
                <w:rFonts w:ascii="Lato" w:hAnsi="Lato"/>
                <w:b/>
                <w:color w:val="FFFFFF"/>
                <w:sz w:val="60"/>
              </w:rPr>
              <w:t>Subamerica Network</w:t>
            </w:r>
          </w:p>
          <w:p>
            <w:pPr>
              <w:spacing w:after="200"/>
            </w:pPr>
            <w:r>
              <w:rPr>
                <w:rFonts w:ascii="Lato" w:hAnsi="Lato"/>
                <w:b w:val="0"/>
                <w:color w:val="D6DBE0"/>
                <w:sz w:val="34"/>
              </w:rPr>
              <w:t>SEO + AEO + GEO Case Study</w:t>
            </w:r>
          </w:p>
          <w:p>
            <w:pPr>
              <w:spacing w:after="160"/>
            </w:pPr>
            <w:r>
              <w:rPr>
                <w:rFonts w:ascii="Lato" w:hAnsi="Lato"/>
                <w:b w:val="0"/>
                <w:color w:val="E7EAED"/>
                <w:sz w:val="20"/>
              </w:rPr>
              <w:t>Expanding search visibility and AI discoverability for an indie underground creator and streaming network</w:t>
            </w:r>
          </w:p>
        </w:tc>
        <w:trPr>
          <w:tblHeader/>
        </w:trPr>
      </w:tr>
    </w:tbl>
    <w:tbl>
      <w:tblPr>
        <w:tblW w:type="auto" w:w="0"/>
        <w:jc w:val="center"/>
        <w:tblLayout w:type="fixed"/>
        <w:tblLook w:firstColumn="1" w:firstRow="1" w:lastColumn="0" w:lastRow="0" w:noHBand="0" w:noVBand="1" w:val="04A0"/>
      </w:tblPr>
      <w:tblGrid>
        <w:gridCol w:w="5083"/>
        <w:gridCol w:w="5083"/>
      </w:tblGrid>
      <w:tr>
        <w:tc>
          <w:tcPr>
            <w:tcW w:type="dxa" w:w="5083"/>
            <w:shd w:fill="FFFFFF"/>
            <w:tcMar>
              <w:top w:w="100" w:type="dxa"/>
              <w:start w:w="120" w:type="dxa"/>
              <w:bottom w:w="100" w:type="dxa"/>
              <w:end w:w="120" w:type="dxa"/>
            </w:tcMar>
            <w:tcBorders>
              <w:top w:val="single" w:sz="4" w:color="D8DCE2"/>
              <w:left w:val="single" w:sz="4" w:color="D8DCE2"/>
              <w:bottom w:val="single" w:sz="4" w:color="D8DCE2"/>
              <w:right w:val="single" w:sz="4" w:color="D8DCE2"/>
            </w:tcBorders>
          </w:tcPr>
          <w:p>
            <w:r>
              <w:drawing>
                <wp:inline xmlns:a="http://schemas.openxmlformats.org/drawingml/2006/main" xmlns:pic="http://schemas.openxmlformats.org/drawingml/2006/picture">
                  <wp:extent cx="1874519" cy="406146"/>
                  <wp:docPr id="2" name="Picture 2" descr="Image: image3.png"/>
                  <wp:cNvGraphicFramePr>
                    <a:graphicFrameLocks noChangeAspect="1"/>
                  </wp:cNvGraphicFramePr>
                  <a:graphic>
                    <a:graphicData uri="http://schemas.openxmlformats.org/drawingml/2006/picture">
                      <pic:pic>
                        <pic:nvPicPr>
                          <pic:cNvPr id="0" name="muse_wordmark.png"/>
                          <pic:cNvPicPr/>
                        </pic:nvPicPr>
                        <pic:blipFill>
                          <a:blip r:embed="rId12"/>
                          <a:stretch>
                            <a:fillRect/>
                          </a:stretch>
                        </pic:blipFill>
                        <pic:spPr>
                          <a:xfrm>
                            <a:off x="0" y="0"/>
                            <a:ext cx="1874519" cy="406146"/>
                          </a:xfrm>
                          <a:prstGeom prst="rect"/>
                        </pic:spPr>
                      </pic:pic>
                    </a:graphicData>
                  </a:graphic>
                </wp:inline>
              </w:drawing>
            </w:r>
          </w:p>
        </w:tc>
        <w:tc>
          <w:tcPr>
            <w:tcW w:type="dxa" w:w="5083"/>
            <w:shd w:fill="17191D"/>
            <w:tcMar>
              <w:top w:w="100" w:type="dxa"/>
              <w:start w:w="120" w:type="dxa"/>
              <w:bottom w:w="100" w:type="dxa"/>
              <w:end w:w="120" w:type="dxa"/>
            </w:tcMar>
            <w:tcBorders>
              <w:top w:val="single" w:sz="1" w:color="17191D"/>
              <w:left w:val="single" w:sz="1" w:color="17191D"/>
              <w:bottom w:val="single" w:sz="1" w:color="17191D"/>
              <w:right w:val="single" w:sz="1" w:color="17191D"/>
            </w:tcBorders>
          </w:tcPr>
          <w:p>
            <w:pPr>
              <w:jc w:val="right"/>
            </w:pPr>
            <w:r>
              <w:drawing>
                <wp:inline xmlns:a="http://schemas.openxmlformats.org/drawingml/2006/main" xmlns:pic="http://schemas.openxmlformats.org/drawingml/2006/picture">
                  <wp:extent cx="1572768" cy="627786"/>
                  <wp:docPr id="3" name="Picture 3" descr="Image: image1.png"/>
                  <wp:cNvGraphicFramePr>
                    <a:graphicFrameLocks noChangeAspect="1"/>
                  </wp:cNvGraphicFramePr>
                  <a:graphic>
                    <a:graphicData uri="http://schemas.openxmlformats.org/drawingml/2006/picture">
                      <pic:pic>
                        <pic:nvPicPr>
                          <pic:cNvPr id="0" name="subamerica_logo.png"/>
                          <pic:cNvPicPr/>
                        </pic:nvPicPr>
                        <pic:blipFill>
                          <a:blip r:embed="rId13"/>
                          <a:stretch>
                            <a:fillRect/>
                          </a:stretch>
                        </pic:blipFill>
                        <pic:spPr>
                          <a:xfrm>
                            <a:off x="0" y="0"/>
                            <a:ext cx="1572768" cy="627786"/>
                          </a:xfrm>
                          <a:prstGeom prst="rect"/>
                        </pic:spPr>
                      </pic:pic>
                    </a:graphicData>
                  </a:graphic>
                </wp:inline>
              </w:drawing>
            </w:r>
          </w:p>
        </w:tc>
        <w:trPr>
          <w:tblHeader/>
        </w:trPr>
      </w:tr>
    </w:tbl>
    <w:p>
      <w:pPr>
        <w:spacing w:before="100" w:after="0" w:line="259" w:lineRule="auto"/>
        <w:jc w:val="center"/>
      </w:pPr>
      <w:r>
        <w:rPr>
          <w:rFonts w:ascii="Lato" w:hAnsi="Lato"/>
          <w:b w:val="0"/>
          <w:color w:val="666B73"/>
          <w:sz w:val="16"/>
        </w:rPr>
        <w:t>Source set supplied: 6 reports covering August and September 2026 | SEO, AEO and GEO</w:t>
      </w:r>
    </w:p>
    <w:p>
      <w:r>
        <w:br w:type="page"/>
      </w:r>
    </w:p>
    <w:p>
      <w:pPr>
        <w:keepNext/>
        <w:spacing w:after="60"/>
      </w:pPr>
      <w:r>
        <w:rPr>
          <w:rFonts w:ascii="Lato" w:hAnsi="Lato"/>
          <w:b/>
          <w:color w:val="7558FF"/>
          <w:sz w:val="17"/>
        </w:rPr>
        <w:t>01 / EXECUTIVE SNAPSHOT</w:t>
      </w:r>
    </w:p>
    <w:p>
      <w:pPr>
        <w:keepNext/>
        <w:spacing w:before="0" w:after="100"/>
      </w:pPr>
      <w:r>
        <w:rPr>
          <w:rFonts w:ascii="Lato" w:hAnsi="Lato"/>
          <w:b/>
          <w:color w:val="111216"/>
          <w:sz w:val="48"/>
        </w:rPr>
        <w:t>Search growth, AI readiness and model visibility</w:t>
      </w:r>
    </w:p>
    <w:p>
      <w:pPr>
        <w:spacing w:before="0" w:after="180" w:line="259" w:lineRule="auto"/>
        <w:jc w:val="left"/>
      </w:pPr>
      <w:r>
        <w:rPr>
          <w:rFonts w:ascii="Lato" w:hAnsi="Lato"/>
          <w:b w:val="0"/>
          <w:color w:val="666B73"/>
          <w:sz w:val="20"/>
        </w:rPr>
        <w:t>The supplied reports show a connected visibility program across traditional search, answer engines and generative AI systems.</w:t>
      </w:r>
    </w:p>
    <w:tbl>
      <w:tblPr>
        <w:tblW w:type="auto" w:w="0"/>
        <w:jc w:val="center"/>
        <w:tblLayout w:type="fixed"/>
        <w:tblLook w:firstColumn="1" w:firstRow="1" w:lastColumn="0" w:lastRow="0" w:noHBand="0" w:noVBand="1" w:val="04A0"/>
      </w:tblPr>
      <w:tblGrid>
        <w:gridCol w:w="3389"/>
        <w:gridCol w:w="3389"/>
        <w:gridCol w:w="3389"/>
      </w:tblGrid>
      <w:tr>
        <w:trPr>
          <w:cantSplit/>
          <w:tblHeader/>
        </w:trPr>
        <w:tc>
          <w:tcPr>
            <w:tcW w:type="dxa" w:w="3389"/>
            <w:shd w:fill="F7F8FA"/>
            <w:tcMar>
              <w:top w:w="150" w:type="dxa"/>
              <w:start w:w="160" w:type="dxa"/>
              <w:bottom w:w="150" w:type="dxa"/>
              <w:end w:w="160" w:type="dxa"/>
            </w:tcMar>
            <w:tcBorders>
              <w:top w:val="single" w:sz="5" w:color="D8DCE2"/>
              <w:left w:val="single" w:sz="5" w:color="D8DCE2"/>
              <w:bottom w:val="single" w:sz="5" w:color="D8DCE2"/>
              <w:right w:val="single" w:sz="5" w:color="D8DCE2"/>
            </w:tcBorders>
          </w:tcPr>
          <w:p>
            <w:pPr>
              <w:spacing w:after="60"/>
            </w:pPr>
            <w:r/>
            <w:r>
              <w:rPr>
                <w:rFonts w:ascii="Lato" w:hAnsi="Lato"/>
                <w:b/>
                <w:color w:val="666B73"/>
                <w:sz w:val="17"/>
              </w:rPr>
              <w:t>Sep active users</w:t>
            </w:r>
          </w:p>
          <w:p>
            <w:pPr>
              <w:spacing w:after="40"/>
            </w:pPr>
            <w:r>
              <w:rPr>
                <w:rFonts w:ascii="Lato" w:hAnsi="Lato"/>
                <w:b/>
                <w:color w:val="11B8C0"/>
                <w:sz w:val="42"/>
              </w:rPr>
              <w:t>3,142</w:t>
            </w:r>
          </w:p>
          <w:p>
            <w:pPr>
              <w:spacing w:after="0"/>
            </w:pPr>
            <w:r>
              <w:rPr>
                <w:rFonts w:ascii="Lato" w:hAnsi="Lato"/>
                <w:b w:val="0"/>
                <w:color w:val="666B73"/>
                <w:sz w:val="16"/>
              </w:rPr>
              <w:t>SEO report snapshot</w:t>
            </w:r>
          </w:p>
        </w:tc>
        <w:tc>
          <w:tcPr>
            <w:tcW w:type="dxa" w:w="3389"/>
            <w:shd w:fill="F7F8FA"/>
            <w:tcMar>
              <w:top w:w="150" w:type="dxa"/>
              <w:start w:w="160" w:type="dxa"/>
              <w:bottom w:w="150" w:type="dxa"/>
              <w:end w:w="160" w:type="dxa"/>
            </w:tcMar>
            <w:tcBorders>
              <w:top w:val="single" w:sz="5" w:color="D8DCE2"/>
              <w:left w:val="single" w:sz="5" w:color="D8DCE2"/>
              <w:bottom w:val="single" w:sz="5" w:color="D8DCE2"/>
              <w:right w:val="single" w:sz="5" w:color="D8DCE2"/>
            </w:tcBorders>
          </w:tcPr>
          <w:p>
            <w:pPr>
              <w:spacing w:after="60"/>
            </w:pPr>
            <w:r/>
            <w:r>
              <w:rPr>
                <w:rFonts w:ascii="Lato" w:hAnsi="Lato"/>
                <w:b/>
                <w:color w:val="666B73"/>
                <w:sz w:val="17"/>
              </w:rPr>
              <w:t>Sep new users</w:t>
            </w:r>
          </w:p>
          <w:p>
            <w:pPr>
              <w:spacing w:after="40"/>
            </w:pPr>
            <w:r>
              <w:rPr>
                <w:rFonts w:ascii="Lato" w:hAnsi="Lato"/>
                <w:b/>
                <w:color w:val="7558FF"/>
                <w:sz w:val="42"/>
              </w:rPr>
              <w:t>3,122</w:t>
            </w:r>
          </w:p>
          <w:p>
            <w:pPr>
              <w:spacing w:after="0"/>
            </w:pPr>
            <w:r>
              <w:rPr>
                <w:rFonts w:ascii="Lato" w:hAnsi="Lato"/>
                <w:b w:val="0"/>
                <w:color w:val="666B73"/>
                <w:sz w:val="16"/>
              </w:rPr>
              <w:t>SEO report snapshot</w:t>
            </w:r>
          </w:p>
        </w:tc>
        <w:tc>
          <w:tcPr>
            <w:tcW w:type="dxa" w:w="3389"/>
            <w:shd w:fill="F7F8FA"/>
            <w:tcMar>
              <w:top w:w="150" w:type="dxa"/>
              <w:start w:w="160" w:type="dxa"/>
              <w:bottom w:w="150" w:type="dxa"/>
              <w:end w:w="160" w:type="dxa"/>
            </w:tcMar>
            <w:tcBorders>
              <w:top w:val="single" w:sz="5" w:color="D8DCE2"/>
              <w:left w:val="single" w:sz="5" w:color="D8DCE2"/>
              <w:bottom w:val="single" w:sz="5" w:color="D8DCE2"/>
              <w:right w:val="single" w:sz="5" w:color="D8DCE2"/>
            </w:tcBorders>
          </w:tcPr>
          <w:p>
            <w:pPr>
              <w:spacing w:after="60"/>
            </w:pPr>
            <w:r/>
            <w:r>
              <w:rPr>
                <w:rFonts w:ascii="Lato" w:hAnsi="Lato"/>
                <w:b/>
                <w:color w:val="666B73"/>
                <w:sz w:val="17"/>
              </w:rPr>
              <w:t>Sep sessions</w:t>
            </w:r>
          </w:p>
          <w:p>
            <w:pPr>
              <w:spacing w:after="40"/>
            </w:pPr>
            <w:r>
              <w:rPr>
                <w:rFonts w:ascii="Lato" w:hAnsi="Lato"/>
                <w:b/>
                <w:color w:val="F37A21"/>
                <w:sz w:val="42"/>
              </w:rPr>
              <w:t>3,997</w:t>
            </w:r>
          </w:p>
          <w:p>
            <w:pPr>
              <w:spacing w:after="0"/>
            </w:pPr>
            <w:r>
              <w:rPr>
                <w:rFonts w:ascii="Lato" w:hAnsi="Lato"/>
                <w:b w:val="0"/>
                <w:color w:val="666B73"/>
                <w:sz w:val="16"/>
              </w:rPr>
              <w:t>SEO report snapshot</w:t>
            </w:r>
          </w:p>
        </w:tc>
      </w:tr>
      <w:tr>
        <w:trPr>
          <w:cantSplit/>
        </w:trPr>
        <w:tc>
          <w:tcPr>
            <w:tcW w:type="dxa" w:w="3389"/>
            <w:shd w:fill="F7F8FA"/>
            <w:tcMar>
              <w:top w:w="150" w:type="dxa"/>
              <w:start w:w="160" w:type="dxa"/>
              <w:bottom w:w="150" w:type="dxa"/>
              <w:end w:w="160" w:type="dxa"/>
            </w:tcMar>
            <w:tcBorders>
              <w:top w:val="single" w:sz="5" w:color="D8DCE2"/>
              <w:left w:val="single" w:sz="5" w:color="D8DCE2"/>
              <w:bottom w:val="single" w:sz="5" w:color="D8DCE2"/>
              <w:right w:val="single" w:sz="5" w:color="D8DCE2"/>
            </w:tcBorders>
          </w:tcPr>
          <w:p>
            <w:pPr>
              <w:spacing w:after="60"/>
            </w:pPr>
            <w:r/>
            <w:r>
              <w:rPr>
                <w:rFonts w:ascii="Lato" w:hAnsi="Lato"/>
                <w:b/>
                <w:color w:val="666B73"/>
                <w:sz w:val="17"/>
              </w:rPr>
              <w:t>Sep events</w:t>
            </w:r>
          </w:p>
          <w:p>
            <w:pPr>
              <w:spacing w:after="40"/>
            </w:pPr>
            <w:r>
              <w:rPr>
                <w:rFonts w:ascii="Lato" w:hAnsi="Lato"/>
                <w:b/>
                <w:color w:val="11B8C0"/>
                <w:sz w:val="42"/>
              </w:rPr>
              <w:t>29,001</w:t>
            </w:r>
          </w:p>
          <w:p>
            <w:pPr>
              <w:spacing w:after="0"/>
            </w:pPr>
            <w:r>
              <w:rPr>
                <w:rFonts w:ascii="Lato" w:hAnsi="Lato"/>
                <w:b w:val="0"/>
                <w:color w:val="666B73"/>
                <w:sz w:val="16"/>
              </w:rPr>
              <w:t>SEO report snapshot</w:t>
            </w:r>
          </w:p>
        </w:tc>
        <w:tc>
          <w:tcPr>
            <w:tcW w:type="dxa" w:w="3389"/>
            <w:shd w:fill="F7F8FA"/>
            <w:tcMar>
              <w:top w:w="150" w:type="dxa"/>
              <w:start w:w="160" w:type="dxa"/>
              <w:bottom w:w="150" w:type="dxa"/>
              <w:end w:w="160" w:type="dxa"/>
            </w:tcMar>
            <w:tcBorders>
              <w:top w:val="single" w:sz="5" w:color="D8DCE2"/>
              <w:left w:val="single" w:sz="5" w:color="D8DCE2"/>
              <w:bottom w:val="single" w:sz="5" w:color="D8DCE2"/>
              <w:right w:val="single" w:sz="5" w:color="D8DCE2"/>
            </w:tcBorders>
          </w:tcPr>
          <w:p>
            <w:pPr>
              <w:spacing w:after="60"/>
            </w:pPr>
            <w:r/>
            <w:r>
              <w:rPr>
                <w:rFonts w:ascii="Lato" w:hAnsi="Lato"/>
                <w:b/>
                <w:color w:val="666B73"/>
                <w:sz w:val="17"/>
              </w:rPr>
              <w:t>AEO answer inclusion</w:t>
            </w:r>
          </w:p>
          <w:p>
            <w:pPr>
              <w:spacing w:after="40"/>
            </w:pPr>
            <w:r>
              <w:rPr>
                <w:rFonts w:ascii="Lato" w:hAnsi="Lato"/>
                <w:b/>
                <w:color w:val="7558FF"/>
                <w:sz w:val="42"/>
              </w:rPr>
              <w:t>100</w:t>
            </w:r>
          </w:p>
          <w:p>
            <w:pPr>
              <w:spacing w:after="0"/>
            </w:pPr>
            <w:r>
              <w:rPr>
                <w:rFonts w:ascii="Lato" w:hAnsi="Lato"/>
                <w:b w:val="0"/>
                <w:color w:val="666B73"/>
                <w:sz w:val="16"/>
              </w:rPr>
              <w:t>September audit</w:t>
            </w:r>
          </w:p>
        </w:tc>
        <w:tc>
          <w:tcPr>
            <w:tcW w:type="dxa" w:w="3389"/>
            <w:shd w:fill="F7F8FA"/>
            <w:tcMar>
              <w:top w:w="150" w:type="dxa"/>
              <w:start w:w="160" w:type="dxa"/>
              <w:bottom w:w="150" w:type="dxa"/>
              <w:end w:w="160" w:type="dxa"/>
            </w:tcMar>
            <w:tcBorders>
              <w:top w:val="single" w:sz="5" w:color="D8DCE2"/>
              <w:left w:val="single" w:sz="5" w:color="D8DCE2"/>
              <w:bottom w:val="single" w:sz="5" w:color="D8DCE2"/>
              <w:right w:val="single" w:sz="5" w:color="D8DCE2"/>
            </w:tcBorders>
          </w:tcPr>
          <w:p>
            <w:pPr>
              <w:spacing w:after="60"/>
            </w:pPr>
            <w:r/>
            <w:r>
              <w:rPr>
                <w:rFonts w:ascii="Lato" w:hAnsi="Lato"/>
                <w:b/>
                <w:color w:val="666B73"/>
                <w:sz w:val="17"/>
              </w:rPr>
              <w:t>AEO generative visibility</w:t>
            </w:r>
          </w:p>
          <w:p>
            <w:pPr>
              <w:spacing w:after="40"/>
            </w:pPr>
            <w:r>
              <w:rPr>
                <w:rFonts w:ascii="Lato" w:hAnsi="Lato"/>
                <w:b/>
                <w:color w:val="11B8C0"/>
                <w:sz w:val="42"/>
              </w:rPr>
              <w:t>100</w:t>
            </w:r>
          </w:p>
          <w:p>
            <w:pPr>
              <w:spacing w:after="0"/>
            </w:pPr>
            <w:r>
              <w:rPr>
                <w:rFonts w:ascii="Lato" w:hAnsi="Lato"/>
                <w:b w:val="0"/>
                <w:color w:val="666B73"/>
                <w:sz w:val="16"/>
              </w:rPr>
              <w:t>September audit</w:t>
            </w:r>
          </w:p>
        </w:tc>
      </w:tr>
      <w:tr>
        <w:trPr>
          <w:cantSplit/>
        </w:trPr>
        <w:tc>
          <w:tcPr>
            <w:tcW w:type="dxa" w:w="3389"/>
            <w:shd w:fill="F7F8FA"/>
            <w:tcMar>
              <w:top w:w="150" w:type="dxa"/>
              <w:start w:w="160" w:type="dxa"/>
              <w:bottom w:w="150" w:type="dxa"/>
              <w:end w:w="160" w:type="dxa"/>
            </w:tcMar>
            <w:tcBorders>
              <w:top w:val="single" w:sz="5" w:color="D8DCE2"/>
              <w:left w:val="single" w:sz="5" w:color="D8DCE2"/>
              <w:bottom w:val="single" w:sz="5" w:color="D8DCE2"/>
              <w:right w:val="single" w:sz="5" w:color="D8DCE2"/>
            </w:tcBorders>
          </w:tcPr>
          <w:p>
            <w:pPr>
              <w:spacing w:after="60"/>
            </w:pPr>
            <w:r/>
            <w:r>
              <w:rPr>
                <w:rFonts w:ascii="Lato" w:hAnsi="Lato"/>
                <w:b/>
                <w:color w:val="666B73"/>
                <w:sz w:val="17"/>
              </w:rPr>
              <w:t>GEO share of voice</w:t>
            </w:r>
          </w:p>
          <w:p>
            <w:pPr>
              <w:spacing w:after="40"/>
            </w:pPr>
            <w:r>
              <w:rPr>
                <w:rFonts w:ascii="Lato" w:hAnsi="Lato"/>
                <w:b/>
                <w:color w:val="F37A21"/>
                <w:sz w:val="42"/>
              </w:rPr>
              <w:t>51%</w:t>
            </w:r>
          </w:p>
          <w:p>
            <w:pPr>
              <w:spacing w:after="0"/>
            </w:pPr>
            <w:r>
              <w:rPr>
                <w:rFonts w:ascii="Lato" w:hAnsi="Lato"/>
                <w:b w:val="0"/>
                <w:color w:val="666B73"/>
                <w:sz w:val="16"/>
              </w:rPr>
              <w:t>September brand-visibility scan</w:t>
            </w:r>
          </w:p>
        </w:tc>
        <w:tc>
          <w:tcPr>
            <w:tcW w:type="dxa" w:w="3389"/>
            <w:shd w:fill="F7F8FA"/>
            <w:tcMar>
              <w:top w:w="150" w:type="dxa"/>
              <w:start w:w="160" w:type="dxa"/>
              <w:bottom w:w="150" w:type="dxa"/>
              <w:end w:w="160" w:type="dxa"/>
            </w:tcMar>
            <w:tcBorders>
              <w:top w:val="single" w:sz="5" w:color="D8DCE2"/>
              <w:left w:val="single" w:sz="5" w:color="D8DCE2"/>
              <w:bottom w:val="single" w:sz="5" w:color="D8DCE2"/>
              <w:right w:val="single" w:sz="5" w:color="D8DCE2"/>
            </w:tcBorders>
          </w:tcPr>
          <w:p>
            <w:pPr>
              <w:spacing w:after="60"/>
            </w:pPr>
            <w:r/>
            <w:r>
              <w:rPr>
                <w:rFonts w:ascii="Lato" w:hAnsi="Lato"/>
                <w:b/>
                <w:color w:val="666B73"/>
                <w:sz w:val="17"/>
              </w:rPr>
              <w:t>GEO overall score</w:t>
            </w:r>
          </w:p>
          <w:p>
            <w:pPr>
              <w:spacing w:after="40"/>
            </w:pPr>
            <w:r>
              <w:rPr>
                <w:rFonts w:ascii="Lato" w:hAnsi="Lato"/>
                <w:b/>
                <w:color w:val="7558FF"/>
                <w:sz w:val="42"/>
              </w:rPr>
              <w:t>44</w:t>
            </w:r>
          </w:p>
          <w:p>
            <w:pPr>
              <w:spacing w:after="0"/>
            </w:pPr>
            <w:r>
              <w:rPr>
                <w:rFonts w:ascii="Lato" w:hAnsi="Lato"/>
                <w:b w:val="0"/>
                <w:color w:val="666B73"/>
                <w:sz w:val="16"/>
              </w:rPr>
              <w:t>September brand-visibility scan</w:t>
            </w:r>
          </w:p>
        </w:tc>
        <w:tc>
          <w:tcPr>
            <w:tcW w:type="dxa" w:w="3389"/>
            <w:shd w:fill="F7F8FA"/>
            <w:tcMar>
              <w:top w:w="150" w:type="dxa"/>
              <w:start w:w="160" w:type="dxa"/>
              <w:bottom w:w="150" w:type="dxa"/>
              <w:end w:w="160" w:type="dxa"/>
            </w:tcMar>
            <w:tcBorders>
              <w:top w:val="single" w:sz="5" w:color="D8DCE2"/>
              <w:left w:val="single" w:sz="5" w:color="D8DCE2"/>
              <w:bottom w:val="single" w:sz="5" w:color="D8DCE2"/>
              <w:right w:val="single" w:sz="5" w:color="D8DCE2"/>
            </w:tcBorders>
          </w:tcPr>
          <w:p>
            <w:pPr>
              <w:spacing w:after="60"/>
            </w:pPr>
            <w:r/>
            <w:r>
              <w:rPr>
                <w:rFonts w:ascii="Lato" w:hAnsi="Lato"/>
                <w:b/>
                <w:color w:val="666B73"/>
                <w:sz w:val="17"/>
              </w:rPr>
              <w:t>Sep page-1 keywords</w:t>
            </w:r>
          </w:p>
          <w:p>
            <w:pPr>
              <w:spacing w:after="40"/>
            </w:pPr>
            <w:r>
              <w:rPr>
                <w:rFonts w:ascii="Lato" w:hAnsi="Lato"/>
                <w:b/>
                <w:color w:val="11B8C0"/>
                <w:sz w:val="42"/>
              </w:rPr>
              <w:t>5 / 10</w:t>
            </w:r>
          </w:p>
          <w:p>
            <w:pPr>
              <w:spacing w:after="0"/>
            </w:pPr>
            <w:r>
              <w:rPr>
                <w:rFonts w:ascii="Lato" w:hAnsi="Lato"/>
                <w:b w:val="0"/>
                <w:color w:val="666B73"/>
                <w:sz w:val="16"/>
              </w:rPr>
              <w:t>NYC keyword set</w:t>
            </w:r>
          </w:p>
        </w:tc>
      </w:tr>
    </w:tbl>
    <w:p>
      <w:pPr>
        <w:spacing w:after="20"/>
      </w:pPr>
    </w:p>
    <w:tbl>
      <w:tblPr>
        <w:tblW w:type="auto" w:w="0"/>
        <w:jc w:val="center"/>
        <w:tblLook w:firstColumn="1" w:firstRow="1" w:lastColumn="0" w:lastRow="0" w:noHBand="0" w:noVBand="1" w:val="04A0"/>
      </w:tblPr>
      <w:tblGrid>
        <w:gridCol w:w="10166"/>
      </w:tblGrid>
      <w:tr>
        <w:tc>
          <w:tcPr>
            <w:tcW w:type="dxa" w:w="10166"/>
            <w:shd w:fill="EFF8F8"/>
            <w:tcMar>
              <w:top w:w="170" w:type="dxa"/>
              <w:start w:w="200" w:type="dxa"/>
              <w:bottom w:w="170" w:type="dxa"/>
              <w:end w:w="200" w:type="dxa"/>
            </w:tcMar>
            <w:tcBorders>
              <w:top w:val="single" w:sz="14" w:color="11B8C0"/>
              <w:left w:val="single" w:sz="14" w:color="11B8C0"/>
              <w:bottom w:val="single" w:sz="14" w:color="11B8C0"/>
              <w:right w:val="single" w:sz="14" w:color="11B8C0"/>
            </w:tcBorders>
          </w:tcPr>
          <w:p>
            <w:pPr>
              <w:spacing w:after="80"/>
            </w:pPr>
            <w:r/>
            <w:r>
              <w:rPr>
                <w:rFonts w:ascii="Lato" w:hAnsi="Lato"/>
                <w:b/>
                <w:color w:val="111216"/>
                <w:sz w:val="21"/>
              </w:rPr>
              <w:t>The story in one line</w:t>
            </w:r>
          </w:p>
          <w:p>
            <w:pPr>
              <w:spacing w:after="0"/>
            </w:pPr>
            <w:r>
              <w:rPr>
                <w:rFonts w:ascii="Lato" w:hAnsi="Lato"/>
                <w:b w:val="0"/>
                <w:color w:val="666B73"/>
                <w:sz w:val="18"/>
              </w:rPr>
              <w:t>Subamerica moved from a search program centered on branded and “underground platform” discovery into a broader system spanning creator, streaming, monetization and connected-TV queries, with AI answer and citation visibility becoming measurable alongside SEO rankings.</w:t>
            </w:r>
          </w:p>
        </w:tc>
        <w:trPr>
          <w:tblHeader/>
        </w:trPr>
      </w:tr>
    </w:tbl>
    <w:p>
      <w:pPr>
        <w:spacing w:after="40"/>
      </w:pPr>
    </w:p>
    <w:tbl>
      <w:tblPr>
        <w:tblW w:type="auto" w:w="0"/>
        <w:jc w:val="center"/>
        <w:tblLayout w:type="fixed"/>
        <w:tblLook w:firstColumn="1" w:firstRow="1" w:lastColumn="0" w:lastRow="0" w:noHBand="0" w:noVBand="1" w:val="04A0"/>
      </w:tblPr>
      <w:tblGrid>
        <w:gridCol w:w="5083"/>
        <w:gridCol w:w="5083"/>
      </w:tblGrid>
      <w:tr>
        <w:tc>
          <w:tcPr>
            <w:tcW w:type="dxa" w:w="4766"/>
            <w:shd w:fill="F7F4EF"/>
            <w:tcMar>
              <w:top w:w="150" w:type="dxa"/>
              <w:start w:w="170" w:type="dxa"/>
              <w:bottom w:w="150" w:type="dxa"/>
              <w:end w:w="170" w:type="dxa"/>
            </w:tcMar>
            <w:tcBorders>
              <w:top w:val="single" w:sz="5" w:color="D8DCE2"/>
              <w:left w:val="single" w:sz="5" w:color="D8DCE2"/>
              <w:bottom w:val="single" w:sz="5" w:color="D8DCE2"/>
              <w:right w:val="single" w:sz="5" w:color="D8DCE2"/>
            </w:tcBorders>
          </w:tcPr>
          <w:p>
            <w:pPr>
              <w:spacing w:after="80" w:line="250" w:lineRule="auto"/>
            </w:pPr>
            <w:r/>
            <w:r>
              <w:rPr>
                <w:rFonts w:ascii="Lato" w:hAnsi="Lato"/>
                <w:b/>
                <w:color w:val="111216"/>
                <w:sz w:val="21"/>
              </w:rPr>
              <w:t>Traditional search</w:t>
            </w:r>
          </w:p>
          <w:p>
            <w:pPr>
              <w:spacing w:after="80" w:line="250" w:lineRule="auto"/>
            </w:pPr>
            <w:r>
              <w:rPr>
                <w:rFonts w:ascii="Lato" w:hAnsi="Lato"/>
                <w:b/>
                <w:color w:val="7558FF"/>
                <w:sz w:val="38"/>
              </w:rPr>
              <w:t>5 / 10</w:t>
            </w:r>
          </w:p>
          <w:p>
            <w:pPr>
              <w:spacing w:after="80" w:line="250" w:lineRule="auto"/>
            </w:pPr>
            <w:r>
              <w:rPr>
                <w:rFonts w:ascii="Lato" w:hAnsi="Lato"/>
                <w:b w:val="0"/>
                <w:color w:val="666B73"/>
                <w:sz w:val="18"/>
              </w:rPr>
              <w:t>Five of ten listed NYC keywords were on page 1 in the 21-Sep SEO report, including Subamerica Creator Portal and Subamerica Network at #1.</w:t>
            </w:r>
          </w:p>
          <w:p>
            <w:pPr>
              <w:spacing w:after="80" w:line="250" w:lineRule="auto"/>
            </w:pPr>
            <w:r>
              <w:rPr>
                <w:rFonts w:ascii="Lato" w:hAnsi="Lato"/>
                <w:b w:val="0"/>
                <w:color w:val="666B73"/>
                <w:sz w:val="18"/>
              </w:rPr>
              <w:t>The tracked set also expanded into “Indie Underground Media Network” and “Indie Underground Streaming TV,” both at #1.</w:t>
            </w:r>
          </w:p>
        </w:tc>
        <w:tc>
          <w:tcPr>
            <w:tcW w:type="dxa" w:w="4766"/>
            <w:shd w:fill="F2F0FB"/>
            <w:tcMar>
              <w:top w:w="150" w:type="dxa"/>
              <w:start w:w="170" w:type="dxa"/>
              <w:bottom w:w="150" w:type="dxa"/>
              <w:end w:w="170" w:type="dxa"/>
            </w:tcMar>
            <w:tcBorders>
              <w:top w:val="single" w:sz="5" w:color="D8DCE2"/>
              <w:left w:val="single" w:sz="5" w:color="D8DCE2"/>
              <w:bottom w:val="single" w:sz="5" w:color="D8DCE2"/>
              <w:right w:val="single" w:sz="5" w:color="D8DCE2"/>
            </w:tcBorders>
          </w:tcPr>
          <w:p>
            <w:pPr>
              <w:spacing w:after="80" w:line="250" w:lineRule="auto"/>
            </w:pPr>
            <w:r/>
            <w:r>
              <w:rPr>
                <w:rFonts w:ascii="Lato" w:hAnsi="Lato"/>
                <w:b/>
                <w:color w:val="111216"/>
                <w:sz w:val="21"/>
              </w:rPr>
              <w:t>AI discovery</w:t>
            </w:r>
          </w:p>
          <w:p>
            <w:pPr>
              <w:spacing w:after="80" w:line="250" w:lineRule="auto"/>
            </w:pPr>
            <w:r>
              <w:rPr>
                <w:rFonts w:ascii="Lato" w:hAnsi="Lato"/>
                <w:b/>
                <w:color w:val="7558FF"/>
                <w:sz w:val="38"/>
              </w:rPr>
              <w:t>51%</w:t>
            </w:r>
          </w:p>
          <w:p>
            <w:pPr>
              <w:spacing w:after="80" w:line="250" w:lineRule="auto"/>
            </w:pPr>
            <w:r>
              <w:rPr>
                <w:rFonts w:ascii="Lato" w:hAnsi="Lato"/>
                <w:b w:val="0"/>
                <w:color w:val="666B73"/>
                <w:sz w:val="18"/>
              </w:rPr>
              <w:t>The 21-Sep GEO report records 51% share of voice across 169 AI-model responses from 42 tracked queries.</w:t>
            </w:r>
          </w:p>
          <w:p>
            <w:pPr>
              <w:spacing w:after="80" w:line="250" w:lineRule="auto"/>
            </w:pPr>
            <w:r>
              <w:rPr>
                <w:rFonts w:ascii="Lato" w:hAnsi="Lato"/>
                <w:b w:val="0"/>
                <w:color w:val="666B73"/>
                <w:sz w:val="18"/>
              </w:rPr>
              <w:t>The same scan reports model hit rates of 91% Perplexity, 45% Gemini, 45% ChatGPT and 36% Claude.</w:t>
            </w:r>
          </w:p>
        </w:tc>
        <w:trPr>
          <w:tblHeader/>
        </w:trPr>
      </w:tr>
    </w:tbl>
    <w:p>
      <w:pPr>
        <w:spacing w:after="40"/>
      </w:pPr>
    </w:p>
    <w:p>
      <w:pPr>
        <w:spacing w:before="0" w:after="0" w:line="259" w:lineRule="auto"/>
        <w:jc w:val="left"/>
      </w:pPr>
      <w:r>
        <w:rPr>
          <w:rFonts w:ascii="Lato" w:hAnsi="Lato"/>
          <w:b w:val="0"/>
          <w:color w:val="666B73"/>
          <w:sz w:val="17"/>
        </w:rPr>
        <w:t>Current site context: Subamerica describes itself as an indie underground network streaming art, sound and stories 24/7 from New York City, with distribution across Roku, Google TV, Fire TV and Apple TV.</w:t>
      </w:r>
    </w:p>
    <w:p>
      <w:r>
        <w:br w:type="page"/>
      </w:r>
    </w:p>
    <w:p>
      <w:pPr>
        <w:keepNext/>
        <w:spacing w:after="60"/>
      </w:pPr>
      <w:r>
        <w:rPr>
          <w:rFonts w:ascii="Lato" w:hAnsi="Lato"/>
          <w:b/>
          <w:color w:val="7558FF"/>
          <w:sz w:val="17"/>
        </w:rPr>
        <w:t>02 / CONTEXT</w:t>
      </w:r>
    </w:p>
    <w:p>
      <w:pPr>
        <w:keepNext/>
        <w:spacing w:before="0" w:after="100"/>
      </w:pPr>
      <w:r>
        <w:rPr>
          <w:rFonts w:ascii="Lato" w:hAnsi="Lato"/>
          <w:b/>
          <w:color w:val="111216"/>
          <w:sz w:val="48"/>
        </w:rPr>
        <w:t>The discovery challenge</w:t>
      </w:r>
    </w:p>
    <w:p>
      <w:pPr>
        <w:spacing w:before="0" w:after="180" w:line="259" w:lineRule="auto"/>
        <w:jc w:val="left"/>
      </w:pPr>
      <w:r>
        <w:rPr>
          <w:rFonts w:ascii="Lato" w:hAnsi="Lato"/>
          <w:b w:val="0"/>
          <w:color w:val="666B73"/>
          <w:sz w:val="20"/>
        </w:rPr>
        <w:t>Subamerica sits in a category where audiences may search for a brand, a creator tool, a broadcast outlet, a streaming destination or a monetization model - often using long, conversational questions.</w:t>
      </w:r>
    </w:p>
    <w:tbl>
      <w:tblPr>
        <w:tblW w:type="auto" w:w="0"/>
        <w:jc w:val="center"/>
        <w:tblLayout w:type="fixed"/>
        <w:tblLook w:firstColumn="1" w:firstRow="1" w:lastColumn="0" w:lastRow="0" w:noHBand="0" w:noVBand="1" w:val="04A0"/>
      </w:tblPr>
      <w:tblGrid>
        <w:gridCol w:w="5083"/>
        <w:gridCol w:w="5083"/>
      </w:tblGrid>
      <w:tr>
        <w:tc>
          <w:tcPr>
            <w:tcW w:type="dxa" w:w="4766"/>
            <w:shd w:fill="F7F4EF"/>
            <w:tcMar>
              <w:top w:w="150" w:type="dxa"/>
              <w:start w:w="170" w:type="dxa"/>
              <w:bottom w:w="150" w:type="dxa"/>
              <w:end w:w="170" w:type="dxa"/>
            </w:tcMar>
            <w:tcBorders>
              <w:top w:val="single" w:sz="5" w:color="D8DCE2"/>
              <w:left w:val="single" w:sz="5" w:color="D8DCE2"/>
              <w:bottom w:val="single" w:sz="5" w:color="D8DCE2"/>
              <w:right w:val="single" w:sz="5" w:color="D8DCE2"/>
            </w:tcBorders>
          </w:tcPr>
          <w:p>
            <w:pPr>
              <w:spacing w:after="80" w:line="250" w:lineRule="auto"/>
            </w:pPr>
            <w:r/>
            <w:r>
              <w:rPr>
                <w:rFonts w:ascii="Lato" w:hAnsi="Lato"/>
                <w:b/>
                <w:color w:val="111216"/>
                <w:sz w:val="21"/>
              </w:rPr>
              <w:t>What search needed to understand</w:t>
            </w:r>
          </w:p>
          <w:p>
            <w:pPr>
              <w:spacing w:after="80" w:line="250" w:lineRule="auto"/>
            </w:pPr>
            <w:r>
              <w:rPr>
                <w:rFonts w:ascii="Lato" w:hAnsi="Lato"/>
                <w:b w:val="0"/>
                <w:color w:val="666B73"/>
                <w:sz w:val="18"/>
              </w:rPr>
              <w:t>A single semantic picture of Subamerica as an independent / indie underground media network, creator platform and streaming destination.</w:t>
            </w:r>
          </w:p>
          <w:p>
            <w:pPr>
              <w:spacing w:after="80" w:line="250" w:lineRule="auto"/>
            </w:pPr>
            <w:r>
              <w:rPr>
                <w:rFonts w:ascii="Lato" w:hAnsi="Lato"/>
                <w:b w:val="0"/>
                <w:color w:val="666B73"/>
                <w:sz w:val="18"/>
              </w:rPr>
              <w:t>Clear relationships between creators, artists, streaming, broadcast, monetization, connected TV and community.</w:t>
            </w:r>
          </w:p>
          <w:p>
            <w:pPr>
              <w:spacing w:after="80" w:line="250" w:lineRule="auto"/>
            </w:pPr>
            <w:r>
              <w:rPr>
                <w:rFonts w:ascii="Lato" w:hAnsi="Lato"/>
                <w:b w:val="0"/>
                <w:color w:val="666B73"/>
                <w:sz w:val="18"/>
              </w:rPr>
              <w:t>Answer-ready content for “how do I…”, “where can I…”, “what is…” and comparison questions.</w:t>
            </w:r>
          </w:p>
        </w:tc>
        <w:tc>
          <w:tcPr>
            <w:tcW w:type="dxa" w:w="4766"/>
            <w:shd w:fill="F2F0FB"/>
            <w:tcMar>
              <w:top w:w="150" w:type="dxa"/>
              <w:start w:w="170" w:type="dxa"/>
              <w:bottom w:w="150" w:type="dxa"/>
              <w:end w:w="170" w:type="dxa"/>
            </w:tcMar>
            <w:tcBorders>
              <w:top w:val="single" w:sz="5" w:color="D8DCE2"/>
              <w:left w:val="single" w:sz="5" w:color="D8DCE2"/>
              <w:bottom w:val="single" w:sz="5" w:color="D8DCE2"/>
              <w:right w:val="single" w:sz="5" w:color="D8DCE2"/>
            </w:tcBorders>
          </w:tcPr>
          <w:p>
            <w:pPr>
              <w:spacing w:after="80" w:line="250" w:lineRule="auto"/>
            </w:pPr>
            <w:r/>
            <w:r>
              <w:rPr>
                <w:rFonts w:ascii="Lato" w:hAnsi="Lato"/>
                <w:b/>
                <w:color w:val="111216"/>
                <w:sz w:val="21"/>
              </w:rPr>
              <w:t>What the reports surfaced</w:t>
            </w:r>
          </w:p>
          <w:p>
            <w:pPr>
              <w:spacing w:after="80" w:line="250" w:lineRule="auto"/>
            </w:pPr>
            <w:r>
              <w:rPr>
                <w:rFonts w:ascii="Lato" w:hAnsi="Lato"/>
                <w:b w:val="0"/>
                <w:color w:val="666B73"/>
                <w:sz w:val="18"/>
              </w:rPr>
              <w:t>August AEO diagnostics flagged schema, FAQ, content-depth and entity-signaling gaps.</w:t>
            </w:r>
          </w:p>
          <w:p>
            <w:pPr>
              <w:spacing w:after="80" w:line="250" w:lineRule="auto"/>
            </w:pPr>
            <w:r>
              <w:rPr>
                <w:rFonts w:ascii="Lato" w:hAnsi="Lato"/>
                <w:b w:val="0"/>
                <w:color w:val="666B73"/>
                <w:sz w:val="18"/>
              </w:rPr>
              <w:t>August GEO showed very strong Perplexity and ChatGPT hit rates, but no Claude hits in that test set.</w:t>
            </w:r>
          </w:p>
          <w:p>
            <w:pPr>
              <w:spacing w:after="80" w:line="250" w:lineRule="auto"/>
            </w:pPr>
            <w:r>
              <w:rPr>
                <w:rFonts w:ascii="Lato" w:hAnsi="Lato"/>
                <w:b w:val="0"/>
                <w:color w:val="666B73"/>
                <w:sz w:val="18"/>
              </w:rPr>
              <w:t>September AEO showed fewer critical issues and stronger AI visibility signals; September GEO surfaced new question-level citation opportunities.</w:t>
            </w:r>
          </w:p>
        </w:tc>
        <w:trPr>
          <w:tblHeader/>
        </w:trPr>
      </w:tr>
    </w:tbl>
    <w:p>
      <w:pPr>
        <w:spacing w:after="40"/>
      </w:pPr>
    </w:p>
    <w:p>
      <w:pPr>
        <w:keepNext/>
        <w:spacing w:before="0" w:after="100"/>
      </w:pPr>
      <w:r>
        <w:rPr>
          <w:rFonts w:ascii="Lato" w:hAnsi="Lato"/>
          <w:b/>
          <w:color w:val="111216"/>
          <w:sz w:val="30"/>
        </w:rPr>
        <w:t>Engagement objectives</w:t>
      </w:r>
    </w:p>
    <w:p>
      <w:pPr>
        <w:pStyle w:val="ListBullet"/>
        <w:spacing w:after="80" w:line="250" w:lineRule="auto"/>
        <w:ind w:left="259" w:hanging="158"/>
      </w:pPr>
      <w:r>
        <w:rPr>
          <w:rFonts w:ascii="Lato" w:hAnsi="Lato"/>
          <w:b w:val="0"/>
          <w:color w:val="111216"/>
          <w:sz w:val="19"/>
        </w:rPr>
        <w:t>Strengthen NYC search visibility for the Subamerica brand and creator-platform proposition.</w:t>
      </w:r>
    </w:p>
    <w:p>
      <w:pPr>
        <w:pStyle w:val="ListBullet"/>
        <w:spacing w:after="80" w:line="250" w:lineRule="auto"/>
        <w:ind w:left="259" w:hanging="158"/>
      </w:pPr>
      <w:r>
        <w:rPr>
          <w:rFonts w:ascii="Lato" w:hAnsi="Lato"/>
          <w:b w:val="0"/>
          <w:color w:val="111216"/>
          <w:sz w:val="19"/>
        </w:rPr>
        <w:t>Improve machine readability through structured data, semantic page architecture and answer-style content.</w:t>
      </w:r>
    </w:p>
    <w:p>
      <w:pPr>
        <w:pStyle w:val="ListBullet"/>
        <w:spacing w:after="80" w:line="250" w:lineRule="auto"/>
        <w:ind w:left="259" w:hanging="158"/>
      </w:pPr>
      <w:r>
        <w:rPr>
          <w:rFonts w:ascii="Lato" w:hAnsi="Lato"/>
          <w:b w:val="0"/>
          <w:color w:val="111216"/>
          <w:sz w:val="19"/>
        </w:rPr>
        <w:t>Increase the chance that AI systems cite or recommend Subamerica for creator, streaming and independent-media questions.</w:t>
      </w:r>
    </w:p>
    <w:p>
      <w:pPr>
        <w:pStyle w:val="ListBullet"/>
        <w:spacing w:after="80" w:line="250" w:lineRule="auto"/>
        <w:ind w:left="259" w:hanging="158"/>
      </w:pPr>
      <w:r>
        <w:rPr>
          <w:rFonts w:ascii="Lato" w:hAnsi="Lato"/>
          <w:b w:val="0"/>
          <w:color w:val="111216"/>
          <w:sz w:val="19"/>
        </w:rPr>
        <w:t>Build a consistent entity footprint across the website and external surfaces.</w:t>
      </w:r>
    </w:p>
    <w:tbl>
      <w:tblPr>
        <w:tblW w:type="auto" w:w="0"/>
        <w:jc w:val="center"/>
        <w:tblLook w:firstColumn="1" w:firstRow="1" w:lastColumn="0" w:lastRow="0" w:noHBand="0" w:noVBand="1" w:val="04A0"/>
      </w:tblPr>
      <w:tblGrid>
        <w:gridCol w:w="10166"/>
      </w:tblGrid>
      <w:tr>
        <w:tc>
          <w:tcPr>
            <w:tcW w:type="dxa" w:w="10166"/>
            <w:shd w:fill="F2F0FB"/>
            <w:tcMar>
              <w:top w:w="170" w:type="dxa"/>
              <w:start w:w="200" w:type="dxa"/>
              <w:bottom w:w="170" w:type="dxa"/>
              <w:end w:w="200" w:type="dxa"/>
            </w:tcMar>
            <w:tcBorders>
              <w:top w:val="single" w:sz="14" w:color="7558FF"/>
              <w:left w:val="single" w:sz="14" w:color="7558FF"/>
              <w:bottom w:val="single" w:sz="14" w:color="7558FF"/>
              <w:right w:val="single" w:sz="14" w:color="7558FF"/>
            </w:tcBorders>
          </w:tcPr>
          <w:p>
            <w:pPr>
              <w:spacing w:after="80"/>
            </w:pPr>
            <w:r/>
            <w:r>
              <w:rPr>
                <w:rFonts w:ascii="Lato" w:hAnsi="Lato"/>
                <w:b/>
                <w:color w:val="111216"/>
                <w:sz w:val="21"/>
              </w:rPr>
              <w:t>Why the mix matters</w:t>
            </w:r>
          </w:p>
          <w:p>
            <w:pPr>
              <w:spacing w:after="0"/>
            </w:pPr>
            <w:r>
              <w:rPr>
                <w:rFonts w:ascii="Lato" w:hAnsi="Lato"/>
                <w:b w:val="0"/>
                <w:color w:val="666B73"/>
                <w:sz w:val="18"/>
              </w:rPr>
              <w:t>Muse positions AEO and generative AI search optimization as an emerging practice designed for changing discovery behavior. For Subamerica, that means optimizing not just for rank, but for understanding, answerability and citation.</w:t>
            </w:r>
          </w:p>
        </w:tc>
        <w:trPr>
          <w:tblHeader/>
        </w:trPr>
      </w:tr>
    </w:tbl>
    <w:p>
      <w:pPr>
        <w:spacing w:after="40"/>
      </w:pPr>
    </w:p>
    <w:p>
      <w:r>
        <w:br w:type="page"/>
      </w:r>
    </w:p>
    <w:p>
      <w:pPr>
        <w:keepNext/>
        <w:spacing w:after="60"/>
      </w:pPr>
      <w:r>
        <w:rPr>
          <w:rFonts w:ascii="Lato" w:hAnsi="Lato"/>
          <w:b/>
          <w:color w:val="7558FF"/>
          <w:sz w:val="17"/>
        </w:rPr>
        <w:t>03 / SEO PERFORMANCE</w:t>
      </w:r>
    </w:p>
    <w:p>
      <w:pPr>
        <w:keepNext/>
        <w:spacing w:before="0" w:after="100"/>
      </w:pPr>
      <w:r>
        <w:rPr>
          <w:rFonts w:ascii="Lato" w:hAnsi="Lato"/>
          <w:b/>
          <w:color w:val="111216"/>
          <w:sz w:val="48"/>
        </w:rPr>
        <w:t>A larger organic footprint with deeper engagement signals</w:t>
      </w:r>
    </w:p>
    <w:p>
      <w:pPr>
        <w:spacing w:before="0" w:after="180" w:line="259" w:lineRule="auto"/>
        <w:jc w:val="left"/>
      </w:pPr>
      <w:r>
        <w:rPr>
          <w:rFonts w:ascii="Lato" w:hAnsi="Lato"/>
          <w:b w:val="0"/>
          <w:color w:val="666B73"/>
          <w:sz w:val="20"/>
        </w:rPr>
        <w:t>The two SEO reports provide clear before/after snapshots for analytics volume and NYC keyword coverage.</w:t>
      </w:r>
    </w:p>
    <w:p>
      <w:pPr>
        <w:spacing w:after="60"/>
        <w:jc w:val="center"/>
      </w:pPr>
      <w:r>
        <w:drawing>
          <wp:inline xmlns:a="http://schemas.openxmlformats.org/drawingml/2006/main" xmlns:pic="http://schemas.openxmlformats.org/drawingml/2006/picture">
            <wp:extent cx="5943600" cy="3169920"/>
            <wp:docPr id="4" name="Picture 4" descr="Image: image4.png"/>
            <wp:cNvGraphicFramePr>
              <a:graphicFrameLocks noChangeAspect="1"/>
            </wp:cNvGraphicFramePr>
            <a:graphic>
              <a:graphicData uri="http://schemas.openxmlformats.org/drawingml/2006/picture">
                <pic:pic>
                  <pic:nvPicPr>
                    <pic:cNvPr id="0" name="seo_snapshot_comparison.png"/>
                    <pic:cNvPicPr/>
                  </pic:nvPicPr>
                  <pic:blipFill>
                    <a:blip r:embed="rId14"/>
                    <a:stretch>
                      <a:fillRect/>
                    </a:stretch>
                  </pic:blipFill>
                  <pic:spPr>
                    <a:xfrm>
                      <a:off x="0" y="0"/>
                      <a:ext cx="5943600" cy="3169920"/>
                    </a:xfrm>
                    <a:prstGeom prst="rect"/>
                  </pic:spPr>
                </pic:pic>
              </a:graphicData>
            </a:graphic>
          </wp:inline>
        </w:drawing>
      </w:r>
    </w:p>
    <w:p>
      <w:pPr>
        <w:spacing w:after="140"/>
        <w:jc w:val="center"/>
      </w:pPr>
      <w:r>
        <w:rPr>
          <w:rFonts w:ascii="Lato" w:hAnsi="Lato"/>
          <w:b w:val="0"/>
          <w:color w:val="666B73"/>
          <w:sz w:val="15"/>
        </w:rPr>
        <w:t>Reported analytics snapshots: 8-Aug-2026 vs 21-Sep-2026. The source screenshots use their own reporting windows; treat this as snapshot-to-snapshot movement, not a single continuous attribution series.</w:t>
      </w:r>
    </w:p>
    <w:tbl>
      <w:tblPr>
        <w:tblW w:type="auto" w:w="0"/>
        <w:jc w:val="center"/>
        <w:tblLayout w:type="fixed"/>
        <w:tblLook w:firstColumn="1" w:firstRow="1" w:lastColumn="0" w:lastRow="0" w:noHBand="0" w:noVBand="1" w:val="04A0"/>
      </w:tblPr>
      <w:tblGrid>
        <w:gridCol w:w="3389"/>
        <w:gridCol w:w="3389"/>
        <w:gridCol w:w="3389"/>
      </w:tblGrid>
      <w:tr>
        <w:trPr>
          <w:cantSplit/>
          <w:tblHeader/>
        </w:trPr>
        <w:tc>
          <w:tcPr>
            <w:tcW w:type="dxa" w:w="3389"/>
            <w:shd w:fill="F8F8FA"/>
            <w:tcMar>
              <w:top w:w="150" w:type="dxa"/>
              <w:start w:w="160" w:type="dxa"/>
              <w:bottom w:w="150" w:type="dxa"/>
              <w:end w:w="160" w:type="dxa"/>
            </w:tcMar>
            <w:tcBorders>
              <w:top w:val="single" w:sz="5" w:color="D8DCE2"/>
              <w:left w:val="single" w:sz="5" w:color="D8DCE2"/>
              <w:bottom w:val="single" w:sz="5" w:color="D8DCE2"/>
              <w:right w:val="single" w:sz="5" w:color="D8DCE2"/>
            </w:tcBorders>
          </w:tcPr>
          <w:p>
            <w:pPr>
              <w:spacing w:after="60"/>
            </w:pPr>
            <w:r/>
            <w:r>
              <w:rPr>
                <w:rFonts w:ascii="Lato" w:hAnsi="Lato"/>
                <w:b/>
                <w:color w:val="666B73"/>
                <w:sz w:val="17"/>
              </w:rPr>
              <w:t>Active users</w:t>
            </w:r>
          </w:p>
          <w:p>
            <w:pPr>
              <w:spacing w:after="40"/>
            </w:pPr>
            <w:r>
              <w:rPr>
                <w:rFonts w:ascii="Lato" w:hAnsi="Lato"/>
                <w:b/>
                <w:color w:val="11B8C0"/>
                <w:sz w:val="42"/>
              </w:rPr>
              <w:t>1,917 -&gt; 3,142</w:t>
            </w:r>
          </w:p>
          <w:p>
            <w:pPr>
              <w:spacing w:after="0"/>
            </w:pPr>
            <w:r>
              <w:rPr>
                <w:rFonts w:ascii="Lato" w:hAnsi="Lato"/>
                <w:b w:val="0"/>
                <w:color w:val="666B73"/>
                <w:sz w:val="16"/>
              </w:rPr>
              <w:t>+64% between report snapshots</w:t>
            </w:r>
          </w:p>
        </w:tc>
        <w:tc>
          <w:tcPr>
            <w:tcW w:type="dxa" w:w="3389"/>
            <w:shd w:fill="F8F8FA"/>
            <w:tcMar>
              <w:top w:w="150" w:type="dxa"/>
              <w:start w:w="160" w:type="dxa"/>
              <w:bottom w:w="150" w:type="dxa"/>
              <w:end w:w="160" w:type="dxa"/>
            </w:tcMar>
            <w:tcBorders>
              <w:top w:val="single" w:sz="5" w:color="D8DCE2"/>
              <w:left w:val="single" w:sz="5" w:color="D8DCE2"/>
              <w:bottom w:val="single" w:sz="5" w:color="D8DCE2"/>
              <w:right w:val="single" w:sz="5" w:color="D8DCE2"/>
            </w:tcBorders>
          </w:tcPr>
          <w:p>
            <w:pPr>
              <w:spacing w:after="60"/>
            </w:pPr>
            <w:r/>
            <w:r>
              <w:rPr>
                <w:rFonts w:ascii="Lato" w:hAnsi="Lato"/>
                <w:b/>
                <w:color w:val="666B73"/>
                <w:sz w:val="17"/>
              </w:rPr>
              <w:t>New users</w:t>
            </w:r>
          </w:p>
          <w:p>
            <w:pPr>
              <w:spacing w:after="40"/>
            </w:pPr>
            <w:r>
              <w:rPr>
                <w:rFonts w:ascii="Lato" w:hAnsi="Lato"/>
                <w:b/>
                <w:color w:val="7558FF"/>
                <w:sz w:val="42"/>
              </w:rPr>
              <w:t>1,907 -&gt; 3,122</w:t>
            </w:r>
          </w:p>
          <w:p>
            <w:pPr>
              <w:spacing w:after="0"/>
            </w:pPr>
            <w:r>
              <w:rPr>
                <w:rFonts w:ascii="Lato" w:hAnsi="Lato"/>
                <w:b w:val="0"/>
                <w:color w:val="666B73"/>
                <w:sz w:val="16"/>
              </w:rPr>
              <w:t>+64% between report snapshots</w:t>
            </w:r>
          </w:p>
        </w:tc>
        <w:tc>
          <w:tcPr>
            <w:tcW w:type="dxa" w:w="3389"/>
            <w:shd w:fill="F8F8FA"/>
            <w:tcMar>
              <w:top w:w="150" w:type="dxa"/>
              <w:start w:w="160" w:type="dxa"/>
              <w:bottom w:w="150" w:type="dxa"/>
              <w:end w:w="160" w:type="dxa"/>
            </w:tcMar>
            <w:tcBorders>
              <w:top w:val="single" w:sz="5" w:color="D8DCE2"/>
              <w:left w:val="single" w:sz="5" w:color="D8DCE2"/>
              <w:bottom w:val="single" w:sz="5" w:color="D8DCE2"/>
              <w:right w:val="single" w:sz="5" w:color="D8DCE2"/>
            </w:tcBorders>
          </w:tcPr>
          <w:p>
            <w:pPr>
              <w:spacing w:after="60"/>
            </w:pPr>
            <w:r/>
            <w:r>
              <w:rPr>
                <w:rFonts w:ascii="Lato" w:hAnsi="Lato"/>
                <w:b/>
                <w:color w:val="666B73"/>
                <w:sz w:val="17"/>
              </w:rPr>
              <w:t>Sessions</w:t>
            </w:r>
          </w:p>
          <w:p>
            <w:pPr>
              <w:spacing w:after="40"/>
            </w:pPr>
            <w:r>
              <w:rPr>
                <w:rFonts w:ascii="Lato" w:hAnsi="Lato"/>
                <w:b/>
                <w:color w:val="F37A21"/>
                <w:sz w:val="42"/>
              </w:rPr>
              <w:t>2,024 -&gt; 3,997</w:t>
            </w:r>
          </w:p>
          <w:p>
            <w:pPr>
              <w:spacing w:after="0"/>
            </w:pPr>
            <w:r>
              <w:rPr>
                <w:rFonts w:ascii="Lato" w:hAnsi="Lato"/>
                <w:b w:val="0"/>
                <w:color w:val="666B73"/>
                <w:sz w:val="16"/>
              </w:rPr>
              <w:t>+98% between report snapshots</w:t>
            </w:r>
          </w:p>
        </w:tc>
      </w:tr>
      <w:tr>
        <w:trPr>
          <w:cantSplit/>
        </w:trPr>
        <w:tc>
          <w:tcPr>
            <w:tcW w:type="dxa" w:w="3389"/>
            <w:shd w:fill="F8F8FA"/>
            <w:tcMar>
              <w:top w:w="150" w:type="dxa"/>
              <w:start w:w="160" w:type="dxa"/>
              <w:bottom w:w="150" w:type="dxa"/>
              <w:end w:w="160" w:type="dxa"/>
            </w:tcMar>
            <w:tcBorders>
              <w:top w:val="single" w:sz="5" w:color="D8DCE2"/>
              <w:left w:val="single" w:sz="5" w:color="D8DCE2"/>
              <w:bottom w:val="single" w:sz="5" w:color="D8DCE2"/>
              <w:right w:val="single" w:sz="5" w:color="D8DCE2"/>
            </w:tcBorders>
          </w:tcPr>
          <w:p>
            <w:pPr>
              <w:spacing w:after="60"/>
            </w:pPr>
            <w:r/>
            <w:r>
              <w:rPr>
                <w:rFonts w:ascii="Lato" w:hAnsi="Lato"/>
                <w:b/>
                <w:color w:val="666B73"/>
                <w:sz w:val="17"/>
              </w:rPr>
              <w:t>Events</w:t>
            </w:r>
          </w:p>
          <w:p>
            <w:pPr>
              <w:spacing w:after="40"/>
            </w:pPr>
            <w:r>
              <w:rPr>
                <w:rFonts w:ascii="Lato" w:hAnsi="Lato"/>
                <w:b/>
                <w:color w:val="11B8C0"/>
                <w:sz w:val="42"/>
              </w:rPr>
              <w:t>10,097 -&gt; 29,001</w:t>
            </w:r>
          </w:p>
          <w:p>
            <w:pPr>
              <w:spacing w:after="0"/>
            </w:pPr>
            <w:r>
              <w:rPr>
                <w:rFonts w:ascii="Lato" w:hAnsi="Lato"/>
                <w:b w:val="0"/>
                <w:color w:val="666B73"/>
                <w:sz w:val="16"/>
              </w:rPr>
              <w:t>+187% between report snapshots</w:t>
            </w:r>
          </w:p>
        </w:tc>
        <w:tc>
          <w:tcPr>
            <w:tcW w:type="dxa" w:w="3389"/>
            <w:shd w:fill="F8F8FA"/>
            <w:tcMar>
              <w:top w:w="150" w:type="dxa"/>
              <w:start w:w="160" w:type="dxa"/>
              <w:bottom w:w="150" w:type="dxa"/>
              <w:end w:w="160" w:type="dxa"/>
            </w:tcMar>
            <w:tcBorders>
              <w:top w:val="single" w:sz="5" w:color="D8DCE2"/>
              <w:left w:val="single" w:sz="5" w:color="D8DCE2"/>
              <w:bottom w:val="single" w:sz="5" w:color="D8DCE2"/>
              <w:right w:val="single" w:sz="5" w:color="D8DCE2"/>
            </w:tcBorders>
          </w:tcPr>
          <w:p>
            <w:pPr>
              <w:spacing w:after="60"/>
            </w:pPr>
            <w:r/>
            <w:r>
              <w:rPr>
                <w:rFonts w:ascii="Lato" w:hAnsi="Lato"/>
                <w:b/>
                <w:color w:val="666B73"/>
                <w:sz w:val="17"/>
              </w:rPr>
              <w:t>Engagement rate</w:t>
            </w:r>
          </w:p>
          <w:p>
            <w:pPr>
              <w:spacing w:after="40"/>
            </w:pPr>
            <w:r>
              <w:rPr>
                <w:rFonts w:ascii="Lato" w:hAnsi="Lato"/>
                <w:b/>
                <w:color w:val="7558FF"/>
                <w:sz w:val="42"/>
              </w:rPr>
              <w:t>28.26% -&gt; 20.87%</w:t>
            </w:r>
          </w:p>
          <w:p>
            <w:pPr>
              <w:spacing w:after="0"/>
            </w:pPr>
            <w:r>
              <w:rPr>
                <w:rFonts w:ascii="Lato" w:hAnsi="Lato"/>
                <w:b w:val="0"/>
                <w:color w:val="666B73"/>
                <w:sz w:val="16"/>
              </w:rPr>
              <w:t>-7.39 percentage points</w:t>
            </w:r>
          </w:p>
        </w:tc>
        <w:tc>
          <w:tcPr>
            <w:tcW w:type="dxa" w:w="3389"/>
            <w:shd w:fill="F8F8FA"/>
            <w:tcMar>
              <w:top w:w="150" w:type="dxa"/>
              <w:start w:w="160" w:type="dxa"/>
              <w:bottom w:w="150" w:type="dxa"/>
              <w:end w:w="160" w:type="dxa"/>
            </w:tcMar>
            <w:tcBorders>
              <w:top w:val="single" w:sz="5" w:color="D8DCE2"/>
              <w:left w:val="single" w:sz="5" w:color="D8DCE2"/>
              <w:bottom w:val="single" w:sz="5" w:color="D8DCE2"/>
              <w:right w:val="single" w:sz="5" w:color="D8DCE2"/>
            </w:tcBorders>
          </w:tcPr>
          <w:p>
            <w:pPr>
              <w:spacing w:after="60"/>
            </w:pPr>
            <w:r/>
            <w:r>
              <w:rPr>
                <w:rFonts w:ascii="Lato" w:hAnsi="Lato"/>
                <w:b/>
                <w:color w:val="666B73"/>
                <w:sz w:val="17"/>
              </w:rPr>
              <w:t>Avg. engagement time</w:t>
            </w:r>
          </w:p>
          <w:p>
            <w:pPr>
              <w:spacing w:after="40"/>
            </w:pPr>
            <w:r>
              <w:rPr>
                <w:rFonts w:ascii="Lato" w:hAnsi="Lato"/>
                <w:b/>
                <w:color w:val="F37A21"/>
                <w:sz w:val="42"/>
              </w:rPr>
              <w:t>12s -&gt; 24s</w:t>
            </w:r>
          </w:p>
          <w:p>
            <w:pPr>
              <w:spacing w:after="0"/>
            </w:pPr>
            <w:r>
              <w:rPr>
                <w:rFonts w:ascii="Lato" w:hAnsi="Lato"/>
                <w:b w:val="0"/>
                <w:color w:val="666B73"/>
                <w:sz w:val="16"/>
              </w:rPr>
              <w:t>~2x longer in the Sept snapshot</w:t>
            </w:r>
          </w:p>
        </w:tc>
      </w:tr>
    </w:tbl>
    <w:p>
      <w:pPr>
        <w:spacing w:after="20"/>
      </w:pPr>
    </w:p>
    <w:tbl>
      <w:tblPr>
        <w:tblW w:type="auto" w:w="0"/>
        <w:jc w:val="center"/>
        <w:tblLook w:firstColumn="1" w:firstRow="1" w:lastColumn="0" w:lastRow="0" w:noHBand="0" w:noVBand="1" w:val="04A0"/>
      </w:tblPr>
      <w:tblGrid>
        <w:gridCol w:w="10166"/>
      </w:tblGrid>
      <w:tr>
        <w:tc>
          <w:tcPr>
            <w:tcW w:type="dxa" w:w="10166"/>
            <w:shd w:fill="EFF8F8"/>
            <w:tcMar>
              <w:top w:w="170" w:type="dxa"/>
              <w:start w:w="200" w:type="dxa"/>
              <w:bottom w:w="170" w:type="dxa"/>
              <w:end w:w="200" w:type="dxa"/>
            </w:tcMar>
            <w:tcBorders>
              <w:top w:val="single" w:sz="14" w:color="11B8C0"/>
              <w:left w:val="single" w:sz="14" w:color="11B8C0"/>
              <w:bottom w:val="single" w:sz="14" w:color="11B8C0"/>
              <w:right w:val="single" w:sz="14" w:color="11B8C0"/>
            </w:tcBorders>
          </w:tcPr>
          <w:p>
            <w:pPr>
              <w:spacing w:after="80"/>
            </w:pPr>
            <w:r/>
            <w:r>
              <w:rPr>
                <w:rFonts w:ascii="Lato" w:hAnsi="Lato"/>
                <w:b/>
                <w:color w:val="111216"/>
                <w:sz w:val="21"/>
              </w:rPr>
              <w:t>Read the engagement shift carefully</w:t>
            </w:r>
          </w:p>
          <w:p>
            <w:pPr>
              <w:spacing w:after="0"/>
            </w:pPr>
            <w:r>
              <w:rPr>
                <w:rFonts w:ascii="Lato" w:hAnsi="Lato"/>
                <w:b w:val="0"/>
                <w:color w:val="666B73"/>
                <w:sz w:val="18"/>
              </w:rPr>
              <w:t>The September snapshot shows a lower overall engagement rate than August, but average engagement time roughly doubled. Organic Search also recorded 78.1% engagement in the September channel table, materially higher than Direct at 15.36%.</w:t>
            </w:r>
          </w:p>
        </w:tc>
        <w:trPr>
          <w:tblHeader/>
        </w:trPr>
      </w:tr>
    </w:tbl>
    <w:p>
      <w:pPr>
        <w:spacing w:after="40"/>
      </w:pPr>
    </w:p>
    <w:p>
      <w:r>
        <w:br w:type="page"/>
      </w:r>
    </w:p>
    <w:p>
      <w:pPr>
        <w:keepNext/>
        <w:spacing w:after="60"/>
      </w:pPr>
      <w:r>
        <w:rPr>
          <w:rFonts w:ascii="Lato" w:hAnsi="Lato"/>
          <w:b/>
          <w:color w:val="7558FF"/>
          <w:sz w:val="17"/>
        </w:rPr>
        <w:t>04 / KEYWORD FOOTPRINT</w:t>
      </w:r>
    </w:p>
    <w:p>
      <w:pPr>
        <w:keepNext/>
        <w:spacing w:before="0" w:after="100"/>
      </w:pPr>
      <w:r>
        <w:rPr>
          <w:rFonts w:ascii="Lato" w:hAnsi="Lato"/>
          <w:b/>
          <w:color w:val="111216"/>
          <w:sz w:val="48"/>
        </w:rPr>
        <w:t>The query set broadened beyond the brand</w:t>
      </w:r>
    </w:p>
    <w:p>
      <w:pPr>
        <w:spacing w:before="0" w:after="180" w:line="259" w:lineRule="auto"/>
        <w:jc w:val="left"/>
      </w:pPr>
      <w:r>
        <w:rPr>
          <w:rFonts w:ascii="Lato" w:hAnsi="Lato"/>
          <w:b w:val="0"/>
          <w:color w:val="666B73"/>
          <w:sz w:val="20"/>
        </w:rPr>
        <w:t>Keyword tracking evolved from core branded / stream phrases into a wider semantic cluster around media network, streaming TV, monetization and the independent-artist proposition.</w:t>
      </w:r>
    </w:p>
    <w:p>
      <w:pPr>
        <w:spacing w:after="60"/>
        <w:jc w:val="center"/>
      </w:pPr>
      <w:r>
        <w:drawing>
          <wp:inline xmlns:a="http://schemas.openxmlformats.org/drawingml/2006/main" xmlns:pic="http://schemas.openxmlformats.org/drawingml/2006/picture">
            <wp:extent cx="5897880" cy="3407664"/>
            <wp:docPr id="5" name="Picture 5" descr="Image: image5.png"/>
            <wp:cNvGraphicFramePr>
              <a:graphicFrameLocks noChangeAspect="1"/>
            </wp:cNvGraphicFramePr>
            <a:graphic>
              <a:graphicData uri="http://schemas.openxmlformats.org/drawingml/2006/picture">
                <pic:pic>
                  <pic:nvPicPr>
                    <pic:cNvPr id="0" name="keyword_movement_aug_sep.png"/>
                    <pic:cNvPicPr/>
                  </pic:nvPicPr>
                  <pic:blipFill>
                    <a:blip r:embed="rId15"/>
                    <a:stretch>
                      <a:fillRect/>
                    </a:stretch>
                  </pic:blipFill>
                  <pic:spPr>
                    <a:xfrm>
                      <a:off x="0" y="0"/>
                      <a:ext cx="5897880" cy="3407664"/>
                    </a:xfrm>
                    <a:prstGeom prst="rect"/>
                  </pic:spPr>
                </pic:pic>
              </a:graphicData>
            </a:graphic>
          </wp:inline>
        </w:drawing>
      </w:r>
    </w:p>
    <w:p>
      <w:pPr>
        <w:spacing w:after="140"/>
        <w:jc w:val="center"/>
      </w:pPr>
      <w:r>
        <w:rPr>
          <w:rFonts w:ascii="Lato" w:hAnsi="Lato"/>
          <w:b w:val="0"/>
          <w:color w:val="666B73"/>
          <w:sz w:val="15"/>
        </w:rPr>
        <w:t>Selected stable or closely related NYC terms. Lower rank number indicates a stronger position. New terms in September are not treated as direct movement from an August term.</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cantSplit/>
        </w:trPr>
        <w:tc>
          <w:tcPr>
            <w:tcW w:type="dxa" w:w="2952"/>
            <w:shd w:fill="17191D"/>
            <w:tcMar>
              <w:top w:w="90" w:type="dxa"/>
              <w:start w:w="90" w:type="dxa"/>
              <w:bottom w:w="90" w:type="dxa"/>
              <w:end w:w="90" w:type="dxa"/>
            </w:tcMar>
            <w:tcBorders>
              <w:top w:val="single" w:sz="4" w:color="17191D"/>
              <w:left w:val="single" w:sz="4" w:color="17191D"/>
              <w:bottom w:val="single" w:sz="4" w:color="17191D"/>
              <w:right w:val="single" w:sz="4" w:color="17191D"/>
            </w:tcBorders>
          </w:tcPr>
          <w:p>
            <w:pPr>
              <w:spacing w:after="0"/>
            </w:pPr>
            <w:r/>
            <w:r>
              <w:rPr>
                <w:rFonts w:ascii="Lato" w:hAnsi="Lato"/>
                <w:b/>
                <w:color w:val="FFFFFF"/>
                <w:sz w:val="16"/>
              </w:rPr>
              <w:t>Metric</w:t>
            </w:r>
          </w:p>
        </w:tc>
        <w:tc>
          <w:tcPr>
            <w:tcW w:type="dxa" w:w="1800"/>
            <w:shd w:fill="17191D"/>
            <w:tcMar>
              <w:top w:w="90" w:type="dxa"/>
              <w:start w:w="90" w:type="dxa"/>
              <w:bottom w:w="90" w:type="dxa"/>
              <w:end w:w="90" w:type="dxa"/>
            </w:tcMar>
            <w:tcBorders>
              <w:top w:val="single" w:sz="4" w:color="17191D"/>
              <w:left w:val="single" w:sz="4" w:color="17191D"/>
              <w:bottom w:val="single" w:sz="4" w:color="17191D"/>
              <w:right w:val="single" w:sz="4" w:color="17191D"/>
            </w:tcBorders>
          </w:tcPr>
          <w:p>
            <w:pPr>
              <w:spacing w:after="0"/>
            </w:pPr>
            <w:r/>
            <w:r>
              <w:rPr>
                <w:rFonts w:ascii="Lato" w:hAnsi="Lato"/>
                <w:b/>
                <w:color w:val="FFFFFF"/>
                <w:sz w:val="16"/>
              </w:rPr>
              <w:t>8-Aug-2026</w:t>
            </w:r>
          </w:p>
        </w:tc>
        <w:tc>
          <w:tcPr>
            <w:tcW w:type="dxa" w:w="1800"/>
            <w:shd w:fill="17191D"/>
            <w:tcMar>
              <w:top w:w="90" w:type="dxa"/>
              <w:start w:w="90" w:type="dxa"/>
              <w:bottom w:w="90" w:type="dxa"/>
              <w:end w:w="90" w:type="dxa"/>
            </w:tcMar>
            <w:tcBorders>
              <w:top w:val="single" w:sz="4" w:color="17191D"/>
              <w:left w:val="single" w:sz="4" w:color="17191D"/>
              <w:bottom w:val="single" w:sz="4" w:color="17191D"/>
              <w:right w:val="single" w:sz="4" w:color="17191D"/>
            </w:tcBorders>
          </w:tcPr>
          <w:p>
            <w:pPr>
              <w:spacing w:after="0"/>
            </w:pPr>
            <w:r/>
            <w:r>
              <w:rPr>
                <w:rFonts w:ascii="Lato" w:hAnsi="Lato"/>
                <w:b/>
                <w:color w:val="FFFFFF"/>
                <w:sz w:val="16"/>
              </w:rPr>
              <w:t>21-Sep-2026</w:t>
            </w:r>
          </w:p>
        </w:tc>
        <w:tc>
          <w:tcPr>
            <w:tcW w:type="dxa" w:w="3312"/>
            <w:shd w:fill="17191D"/>
            <w:tcMar>
              <w:top w:w="90" w:type="dxa"/>
              <w:start w:w="90" w:type="dxa"/>
              <w:bottom w:w="90" w:type="dxa"/>
              <w:end w:w="90" w:type="dxa"/>
            </w:tcMar>
            <w:tcBorders>
              <w:top w:val="single" w:sz="4" w:color="17191D"/>
              <w:left w:val="single" w:sz="4" w:color="17191D"/>
              <w:bottom w:val="single" w:sz="4" w:color="17191D"/>
              <w:right w:val="single" w:sz="4" w:color="17191D"/>
            </w:tcBorders>
          </w:tcPr>
          <w:p>
            <w:pPr>
              <w:spacing w:after="0"/>
            </w:pPr>
            <w:r/>
            <w:r>
              <w:rPr>
                <w:rFonts w:ascii="Lato" w:hAnsi="Lato"/>
                <w:b/>
                <w:color w:val="FFFFFF"/>
                <w:sz w:val="16"/>
              </w:rPr>
              <w:t>Interpretation</w:t>
            </w:r>
          </w:p>
        </w:tc>
      </w:tr>
      <w:tr>
        <w:trPr>
          <w:cantSplit/>
        </w:trPr>
        <w:tc>
          <w:tcPr>
            <w:tcW w:type="dxa" w:w="295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Tracked NYC keywords</w:t>
            </w:r>
          </w:p>
        </w:tc>
        <w:tc>
          <w:tcPr>
            <w:tcW w:type="dxa" w:w="180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11</w:t>
            </w:r>
          </w:p>
        </w:tc>
        <w:tc>
          <w:tcPr>
            <w:tcW w:type="dxa" w:w="180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10</w:t>
            </w:r>
          </w:p>
        </w:tc>
        <w:tc>
          <w:tcPr>
            <w:tcW w:type="dxa" w:w="331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The tracked set changed slightly.</w:t>
            </w:r>
          </w:p>
        </w:tc>
      </w:tr>
      <w:tr>
        <w:trPr>
          <w:cantSplit/>
        </w:trPr>
        <w:tc>
          <w:tcPr>
            <w:tcW w:type="dxa" w:w="295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Page-1 positions</w:t>
            </w:r>
          </w:p>
        </w:tc>
        <w:tc>
          <w:tcPr>
            <w:tcW w:type="dxa" w:w="1800"/>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4 / 11</w:t>
            </w:r>
          </w:p>
        </w:tc>
        <w:tc>
          <w:tcPr>
            <w:tcW w:type="dxa" w:w="1800"/>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5 / 10</w:t>
            </w:r>
          </w:p>
        </w:tc>
        <w:tc>
          <w:tcPr>
            <w:tcW w:type="dxa" w:w="331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Page-1 coverage remained strong while the query mix evolved.</w:t>
            </w:r>
          </w:p>
        </w:tc>
      </w:tr>
      <w:tr>
        <w:trPr>
          <w:cantSplit/>
        </w:trPr>
        <w:tc>
          <w:tcPr>
            <w:tcW w:type="dxa" w:w="295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Subamerica Creator Portal</w:t>
            </w:r>
          </w:p>
        </w:tc>
        <w:tc>
          <w:tcPr>
            <w:tcW w:type="dxa" w:w="180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#1</w:t>
            </w:r>
          </w:p>
        </w:tc>
        <w:tc>
          <w:tcPr>
            <w:tcW w:type="dxa" w:w="180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#1</w:t>
            </w:r>
          </w:p>
        </w:tc>
        <w:tc>
          <w:tcPr>
            <w:tcW w:type="dxa" w:w="331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Core brand/product discovery held the top position.</w:t>
            </w:r>
          </w:p>
        </w:tc>
      </w:tr>
      <w:tr>
        <w:trPr>
          <w:cantSplit/>
        </w:trPr>
        <w:tc>
          <w:tcPr>
            <w:tcW w:type="dxa" w:w="295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Subamerica Network</w:t>
            </w:r>
          </w:p>
        </w:tc>
        <w:tc>
          <w:tcPr>
            <w:tcW w:type="dxa" w:w="1800"/>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#1</w:t>
            </w:r>
          </w:p>
        </w:tc>
        <w:tc>
          <w:tcPr>
            <w:tcW w:type="dxa" w:w="1800"/>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#1</w:t>
            </w:r>
          </w:p>
        </w:tc>
        <w:tc>
          <w:tcPr>
            <w:tcW w:type="dxa" w:w="331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Branded entity query remained #1.</w:t>
            </w:r>
          </w:p>
        </w:tc>
      </w:tr>
      <w:tr>
        <w:trPr>
          <w:cantSplit/>
        </w:trPr>
        <w:tc>
          <w:tcPr>
            <w:tcW w:type="dxa" w:w="295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Independent artist platform NYC</w:t>
            </w:r>
          </w:p>
        </w:tc>
        <w:tc>
          <w:tcPr>
            <w:tcW w:type="dxa" w:w="180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#14</w:t>
            </w:r>
          </w:p>
        </w:tc>
        <w:tc>
          <w:tcPr>
            <w:tcW w:type="dxa" w:w="180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#14</w:t>
            </w:r>
          </w:p>
        </w:tc>
        <w:tc>
          <w:tcPr>
            <w:tcW w:type="dxa" w:w="331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Stable page-2 presence.</w:t>
            </w:r>
          </w:p>
        </w:tc>
      </w:tr>
      <w:tr>
        <w:trPr>
          <w:cantSplit/>
        </w:trPr>
        <w:tc>
          <w:tcPr>
            <w:tcW w:type="dxa" w:w="295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Music monetization platform NYC</w:t>
            </w:r>
          </w:p>
        </w:tc>
        <w:tc>
          <w:tcPr>
            <w:tcW w:type="dxa" w:w="1800"/>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#26</w:t>
            </w:r>
          </w:p>
        </w:tc>
        <w:tc>
          <w:tcPr>
            <w:tcW w:type="dxa" w:w="1800"/>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#22</w:t>
            </w:r>
          </w:p>
        </w:tc>
        <w:tc>
          <w:tcPr>
            <w:tcW w:type="dxa" w:w="331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Movement toward page 3.</w:t>
            </w:r>
          </w:p>
        </w:tc>
      </w:tr>
      <w:tr>
        <w:trPr>
          <w:cantSplit/>
        </w:trPr>
        <w:tc>
          <w:tcPr>
            <w:tcW w:type="dxa" w:w="295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Underground artists community NYC</w:t>
            </w:r>
          </w:p>
        </w:tc>
        <w:tc>
          <w:tcPr>
            <w:tcW w:type="dxa" w:w="180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#89</w:t>
            </w:r>
          </w:p>
        </w:tc>
        <w:tc>
          <w:tcPr>
            <w:tcW w:type="dxa" w:w="180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#74</w:t>
            </w:r>
          </w:p>
        </w:tc>
        <w:tc>
          <w:tcPr>
            <w:tcW w:type="dxa" w:w="331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Improved visibility, but still outside page 1.</w:t>
            </w:r>
          </w:p>
        </w:tc>
      </w:tr>
    </w:tbl>
    <w:p>
      <w:pPr>
        <w:spacing w:after="40"/>
      </w:pPr>
    </w:p>
    <w:p>
      <w:r>
        <w:br w:type="page"/>
      </w:r>
    </w:p>
    <w:p>
      <w:pPr>
        <w:keepNext/>
        <w:spacing w:after="60"/>
      </w:pPr>
      <w:r>
        <w:rPr>
          <w:rFonts w:ascii="Lato" w:hAnsi="Lato"/>
          <w:b/>
          <w:color w:val="7558FF"/>
          <w:sz w:val="17"/>
        </w:rPr>
        <w:t>05 / AEO PERFORMANCE</w:t>
      </w:r>
    </w:p>
    <w:p>
      <w:pPr>
        <w:keepNext/>
        <w:spacing w:before="0" w:after="100"/>
      </w:pPr>
      <w:r>
        <w:rPr>
          <w:rFonts w:ascii="Lato" w:hAnsi="Lato"/>
          <w:b/>
          <w:color w:val="111216"/>
          <w:sz w:val="48"/>
        </w:rPr>
        <w:t>From crawl readiness to answer readiness</w:t>
      </w:r>
    </w:p>
    <w:p>
      <w:pPr>
        <w:spacing w:before="0" w:after="180" w:line="259" w:lineRule="auto"/>
        <w:jc w:val="left"/>
      </w:pPr>
      <w:r>
        <w:rPr>
          <w:rFonts w:ascii="Lato" w:hAnsi="Lato"/>
          <w:b w:val="0"/>
          <w:color w:val="666B73"/>
          <w:sz w:val="20"/>
        </w:rPr>
        <w:t>The AEO diagnostics show a meaningful change in the audited footprint and in the AI-facing health metrics.</w:t>
      </w:r>
    </w:p>
    <w:p>
      <w:pPr>
        <w:spacing w:after="60"/>
        <w:jc w:val="center"/>
      </w:pPr>
      <w:r>
        <w:drawing>
          <wp:inline xmlns:a="http://schemas.openxmlformats.org/drawingml/2006/main" xmlns:pic="http://schemas.openxmlformats.org/drawingml/2006/picture">
            <wp:extent cx="5897880" cy="3066898"/>
            <wp:docPr id="6" name="Picture 6" descr="Image: image6.png"/>
            <wp:cNvGraphicFramePr>
              <a:graphicFrameLocks noChangeAspect="1"/>
            </wp:cNvGraphicFramePr>
            <a:graphic>
              <a:graphicData uri="http://schemas.openxmlformats.org/drawingml/2006/picture">
                <pic:pic>
                  <pic:nvPicPr>
                    <pic:cNvPr id="0" name="aeo_diagnostics_comparison.png"/>
                    <pic:cNvPicPr/>
                  </pic:nvPicPr>
                  <pic:blipFill>
                    <a:blip r:embed="rId16"/>
                    <a:stretch>
                      <a:fillRect/>
                    </a:stretch>
                  </pic:blipFill>
                  <pic:spPr>
                    <a:xfrm>
                      <a:off x="0" y="0"/>
                      <a:ext cx="5897880" cy="3066898"/>
                    </a:xfrm>
                    <a:prstGeom prst="rect"/>
                  </pic:spPr>
                </pic:pic>
              </a:graphicData>
            </a:graphic>
          </wp:inline>
        </w:drawing>
      </w:r>
    </w:p>
    <w:p>
      <w:pPr>
        <w:spacing w:after="140"/>
        <w:jc w:val="center"/>
      </w:pPr>
      <w:r>
        <w:rPr>
          <w:rFonts w:ascii="Lato" w:hAnsi="Lato"/>
          <w:b w:val="0"/>
          <w:color w:val="666B73"/>
          <w:sz w:val="15"/>
        </w:rPr>
        <w:t>AEO / AI visibility diagnostic comparison using the August and September report values.</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cantSplit/>
        </w:trPr>
        <w:tc>
          <w:tcPr>
            <w:tcW w:type="dxa" w:w="3240"/>
            <w:shd w:fill="17191D"/>
            <w:tcMar>
              <w:top w:w="90" w:type="dxa"/>
              <w:start w:w="90" w:type="dxa"/>
              <w:bottom w:w="90" w:type="dxa"/>
              <w:end w:w="90" w:type="dxa"/>
            </w:tcMar>
            <w:tcBorders>
              <w:top w:val="single" w:sz="4" w:color="17191D"/>
              <w:left w:val="single" w:sz="4" w:color="17191D"/>
              <w:bottom w:val="single" w:sz="4" w:color="17191D"/>
              <w:right w:val="single" w:sz="4" w:color="17191D"/>
            </w:tcBorders>
          </w:tcPr>
          <w:p>
            <w:pPr>
              <w:spacing w:after="0"/>
            </w:pPr>
            <w:r/>
            <w:r>
              <w:rPr>
                <w:rFonts w:ascii="Lato" w:hAnsi="Lato"/>
                <w:b/>
                <w:color w:val="FFFFFF"/>
                <w:sz w:val="16"/>
              </w:rPr>
              <w:t>AEO diagnostic</w:t>
            </w:r>
          </w:p>
        </w:tc>
        <w:tc>
          <w:tcPr>
            <w:tcW w:type="dxa" w:w="1152"/>
            <w:shd w:fill="17191D"/>
            <w:tcMar>
              <w:top w:w="90" w:type="dxa"/>
              <w:start w:w="90" w:type="dxa"/>
              <w:bottom w:w="90" w:type="dxa"/>
              <w:end w:w="90" w:type="dxa"/>
            </w:tcMar>
            <w:tcBorders>
              <w:top w:val="single" w:sz="4" w:color="17191D"/>
              <w:left w:val="single" w:sz="4" w:color="17191D"/>
              <w:bottom w:val="single" w:sz="4" w:color="17191D"/>
              <w:right w:val="single" w:sz="4" w:color="17191D"/>
            </w:tcBorders>
          </w:tcPr>
          <w:p>
            <w:pPr>
              <w:spacing w:after="0"/>
            </w:pPr>
            <w:r/>
            <w:r>
              <w:rPr>
                <w:rFonts w:ascii="Lato" w:hAnsi="Lato"/>
                <w:b/>
                <w:color w:val="FFFFFF"/>
                <w:sz w:val="16"/>
              </w:rPr>
              <w:t>Aug 8</w:t>
            </w:r>
          </w:p>
        </w:tc>
        <w:tc>
          <w:tcPr>
            <w:tcW w:type="dxa" w:w="1152"/>
            <w:shd w:fill="17191D"/>
            <w:tcMar>
              <w:top w:w="90" w:type="dxa"/>
              <w:start w:w="90" w:type="dxa"/>
              <w:bottom w:w="90" w:type="dxa"/>
              <w:end w:w="90" w:type="dxa"/>
            </w:tcMar>
            <w:tcBorders>
              <w:top w:val="single" w:sz="4" w:color="17191D"/>
              <w:left w:val="single" w:sz="4" w:color="17191D"/>
              <w:bottom w:val="single" w:sz="4" w:color="17191D"/>
              <w:right w:val="single" w:sz="4" w:color="17191D"/>
            </w:tcBorders>
          </w:tcPr>
          <w:p>
            <w:pPr>
              <w:spacing w:after="0"/>
            </w:pPr>
            <w:r/>
            <w:r>
              <w:rPr>
                <w:rFonts w:ascii="Lato" w:hAnsi="Lato"/>
                <w:b/>
                <w:color w:val="FFFFFF"/>
                <w:sz w:val="16"/>
              </w:rPr>
              <w:t>Sep 9</w:t>
            </w:r>
          </w:p>
        </w:tc>
        <w:tc>
          <w:tcPr>
            <w:tcW w:type="dxa" w:w="4320"/>
            <w:shd w:fill="17191D"/>
            <w:tcMar>
              <w:top w:w="90" w:type="dxa"/>
              <w:start w:w="90" w:type="dxa"/>
              <w:bottom w:w="90" w:type="dxa"/>
              <w:end w:w="90" w:type="dxa"/>
            </w:tcMar>
            <w:tcBorders>
              <w:top w:val="single" w:sz="4" w:color="17191D"/>
              <w:left w:val="single" w:sz="4" w:color="17191D"/>
              <w:bottom w:val="single" w:sz="4" w:color="17191D"/>
              <w:right w:val="single" w:sz="4" w:color="17191D"/>
            </w:tcBorders>
          </w:tcPr>
          <w:p>
            <w:pPr>
              <w:spacing w:after="0"/>
            </w:pPr>
            <w:r/>
            <w:r>
              <w:rPr>
                <w:rFonts w:ascii="Lato" w:hAnsi="Lato"/>
                <w:b/>
                <w:color w:val="FFFFFF"/>
                <w:sz w:val="16"/>
              </w:rPr>
              <w:t>What changed</w:t>
            </w:r>
          </w:p>
        </w:tc>
      </w:tr>
      <w:tr>
        <w:trPr>
          <w:cantSplit/>
        </w:trPr>
        <w:tc>
          <w:tcPr>
            <w:tcW w:type="dxa" w:w="324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Pages crawled</w:t>
            </w:r>
          </w:p>
        </w:tc>
        <w:tc>
          <w:tcPr>
            <w:tcW w:type="dxa" w:w="115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46</w:t>
            </w:r>
          </w:p>
        </w:tc>
        <w:tc>
          <w:tcPr>
            <w:tcW w:type="dxa" w:w="115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66</w:t>
            </w:r>
          </w:p>
        </w:tc>
        <w:tc>
          <w:tcPr>
            <w:tcW w:type="dxa" w:w="432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Larger audited footprint</w:t>
            </w:r>
          </w:p>
        </w:tc>
      </w:tr>
      <w:tr>
        <w:trPr>
          <w:cantSplit/>
        </w:trPr>
        <w:tc>
          <w:tcPr>
            <w:tcW w:type="dxa" w:w="3240"/>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Pages indexable</w:t>
            </w:r>
          </w:p>
        </w:tc>
        <w:tc>
          <w:tcPr>
            <w:tcW w:type="dxa" w:w="115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46</w:t>
            </w:r>
          </w:p>
        </w:tc>
        <w:tc>
          <w:tcPr>
            <w:tcW w:type="dxa" w:w="115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66</w:t>
            </w:r>
          </w:p>
        </w:tc>
        <w:tc>
          <w:tcPr>
            <w:tcW w:type="dxa" w:w="4320"/>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All crawled pages reported indexable</w:t>
            </w:r>
          </w:p>
        </w:tc>
      </w:tr>
      <w:tr>
        <w:trPr>
          <w:cantSplit/>
        </w:trPr>
        <w:tc>
          <w:tcPr>
            <w:tcW w:type="dxa" w:w="324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Critical issues</w:t>
            </w:r>
          </w:p>
        </w:tc>
        <w:tc>
          <w:tcPr>
            <w:tcW w:type="dxa" w:w="115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11</w:t>
            </w:r>
          </w:p>
        </w:tc>
        <w:tc>
          <w:tcPr>
            <w:tcW w:type="dxa" w:w="115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4</w:t>
            </w:r>
          </w:p>
        </w:tc>
        <w:tc>
          <w:tcPr>
            <w:tcW w:type="dxa" w:w="432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Fewer critical issues in the latest audit</w:t>
            </w:r>
          </w:p>
        </w:tc>
      </w:tr>
      <w:tr>
        <w:trPr>
          <w:cantSplit/>
        </w:trPr>
        <w:tc>
          <w:tcPr>
            <w:tcW w:type="dxa" w:w="3240"/>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AI citation frequency</w:t>
            </w:r>
          </w:p>
        </w:tc>
        <w:tc>
          <w:tcPr>
            <w:tcW w:type="dxa" w:w="115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18</w:t>
            </w:r>
          </w:p>
        </w:tc>
        <w:tc>
          <w:tcPr>
            <w:tcW w:type="dxa" w:w="115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43</w:t>
            </w:r>
          </w:p>
        </w:tc>
        <w:tc>
          <w:tcPr>
            <w:tcW w:type="dxa" w:w="4320"/>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Higher reported citation activity</w:t>
            </w:r>
          </w:p>
        </w:tc>
      </w:tr>
      <w:tr>
        <w:trPr>
          <w:cantSplit/>
        </w:trPr>
        <w:tc>
          <w:tcPr>
            <w:tcW w:type="dxa" w:w="324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Answer inclusion</w:t>
            </w:r>
          </w:p>
        </w:tc>
        <w:tc>
          <w:tcPr>
            <w:tcW w:type="dxa" w:w="115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68</w:t>
            </w:r>
          </w:p>
        </w:tc>
        <w:tc>
          <w:tcPr>
            <w:tcW w:type="dxa" w:w="115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100</w:t>
            </w:r>
          </w:p>
        </w:tc>
        <w:tc>
          <w:tcPr>
            <w:tcW w:type="dxa" w:w="432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Full inclusion rate in latest audit</w:t>
            </w:r>
          </w:p>
        </w:tc>
      </w:tr>
      <w:tr>
        <w:trPr>
          <w:cantSplit/>
        </w:trPr>
        <w:tc>
          <w:tcPr>
            <w:tcW w:type="dxa" w:w="3240"/>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Generative search visibility</w:t>
            </w:r>
          </w:p>
        </w:tc>
        <w:tc>
          <w:tcPr>
            <w:tcW w:type="dxa" w:w="115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93</w:t>
            </w:r>
          </w:p>
        </w:tc>
        <w:tc>
          <w:tcPr>
            <w:tcW w:type="dxa" w:w="115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100</w:t>
            </w:r>
          </w:p>
        </w:tc>
        <w:tc>
          <w:tcPr>
            <w:tcW w:type="dxa" w:w="4320"/>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Full reported generative visibility</w:t>
            </w:r>
          </w:p>
        </w:tc>
      </w:tr>
      <w:tr>
        <w:trPr>
          <w:cantSplit/>
        </w:trPr>
        <w:tc>
          <w:tcPr>
            <w:tcW w:type="dxa" w:w="324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AI recommendation consistency</w:t>
            </w:r>
          </w:p>
        </w:tc>
        <w:tc>
          <w:tcPr>
            <w:tcW w:type="dxa" w:w="115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61</w:t>
            </w:r>
          </w:p>
        </w:tc>
        <w:tc>
          <w:tcPr>
            <w:tcW w:type="dxa" w:w="115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100</w:t>
            </w:r>
          </w:p>
        </w:tc>
        <w:tc>
          <w:tcPr>
            <w:tcW w:type="dxa" w:w="432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Full consistency in latest audit</w:t>
            </w:r>
          </w:p>
        </w:tc>
      </w:tr>
      <w:tr>
        <w:trPr>
          <w:cantSplit/>
        </w:trPr>
        <w:tc>
          <w:tcPr>
            <w:tcW w:type="dxa" w:w="3240"/>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Semantic authority</w:t>
            </w:r>
          </w:p>
        </w:tc>
        <w:tc>
          <w:tcPr>
            <w:tcW w:type="dxa" w:w="115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42</w:t>
            </w:r>
          </w:p>
        </w:tc>
        <w:tc>
          <w:tcPr>
            <w:tcW w:type="dxa" w:w="115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44</w:t>
            </w:r>
          </w:p>
        </w:tc>
        <w:tc>
          <w:tcPr>
            <w:tcW w:type="dxa" w:w="4320"/>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6"/>
              </w:rPr>
              <w:t>Only modest movement; remains a core opportunity</w:t>
            </w:r>
          </w:p>
        </w:tc>
      </w:tr>
    </w:tbl>
    <w:p>
      <w:pPr>
        <w:spacing w:after="40"/>
      </w:pPr>
    </w:p>
    <w:tbl>
      <w:tblPr>
        <w:tblW w:type="auto" w:w="0"/>
        <w:jc w:val="center"/>
        <w:tblLook w:firstColumn="1" w:firstRow="1" w:lastColumn="0" w:lastRow="0" w:noHBand="0" w:noVBand="1" w:val="04A0"/>
      </w:tblPr>
      <w:tblGrid>
        <w:gridCol w:w="10166"/>
      </w:tblGrid>
      <w:tr>
        <w:tc>
          <w:tcPr>
            <w:tcW w:type="dxa" w:w="10166"/>
            <w:shd w:fill="F2F0FB"/>
            <w:tcMar>
              <w:top w:w="170" w:type="dxa"/>
              <w:start w:w="200" w:type="dxa"/>
              <w:bottom w:w="170" w:type="dxa"/>
              <w:end w:w="200" w:type="dxa"/>
            </w:tcMar>
            <w:tcBorders>
              <w:top w:val="single" w:sz="14" w:color="7558FF"/>
              <w:left w:val="single" w:sz="14" w:color="7558FF"/>
              <w:bottom w:val="single" w:sz="14" w:color="7558FF"/>
              <w:right w:val="single" w:sz="14" w:color="7558FF"/>
            </w:tcBorders>
          </w:tcPr>
          <w:p>
            <w:pPr>
              <w:spacing w:after="80"/>
            </w:pPr>
            <w:r/>
            <w:r>
              <w:rPr>
                <w:rFonts w:ascii="Lato" w:hAnsi="Lato"/>
                <w:b/>
                <w:color w:val="111216"/>
                <w:sz w:val="21"/>
              </w:rPr>
              <w:t>The important caveat</w:t>
            </w:r>
          </w:p>
          <w:p>
            <w:pPr>
              <w:spacing w:after="0"/>
            </w:pPr>
            <w:r>
              <w:rPr>
                <w:rFonts w:ascii="Lato" w:hAnsi="Lato"/>
                <w:b w:val="0"/>
                <w:color w:val="666B73"/>
                <w:sz w:val="18"/>
              </w:rPr>
              <w:t>These are diagnostic indicators defined by the supplied AEO reports, not industry-standard rankings. The strongest evidence is the direction of change inside the same audit framework: fewer critical issues and higher answer / generative visibility signals.</w:t>
            </w:r>
          </w:p>
        </w:tc>
        <w:trPr>
          <w:tblHeader/>
        </w:trPr>
      </w:tr>
    </w:tbl>
    <w:p>
      <w:pPr>
        <w:spacing w:after="40"/>
      </w:pPr>
    </w:p>
    <w:p>
      <w:r>
        <w:br w:type="page"/>
      </w:r>
    </w:p>
    <w:p>
      <w:pPr>
        <w:keepNext/>
        <w:spacing w:after="60"/>
      </w:pPr>
      <w:r>
        <w:rPr>
          <w:rFonts w:ascii="Lato" w:hAnsi="Lato"/>
          <w:b/>
          <w:color w:val="7558FF"/>
          <w:sz w:val="17"/>
        </w:rPr>
        <w:t>06 / GEO PERFORMANCE</w:t>
      </w:r>
    </w:p>
    <w:p>
      <w:pPr>
        <w:keepNext/>
        <w:spacing w:before="0" w:after="100"/>
      </w:pPr>
      <w:r>
        <w:rPr>
          <w:rFonts w:ascii="Lato" w:hAnsi="Lato"/>
          <w:b/>
          <w:color w:val="111216"/>
          <w:sz w:val="48"/>
        </w:rPr>
        <w:t>Being present in the answer, not only the index</w:t>
      </w:r>
    </w:p>
    <w:p>
      <w:pPr>
        <w:spacing w:before="0" w:after="180" w:line="259" w:lineRule="auto"/>
        <w:jc w:val="left"/>
      </w:pPr>
      <w:r>
        <w:rPr>
          <w:rFonts w:ascii="Lato" w:hAnsi="Lato"/>
          <w:b w:val="0"/>
          <w:color w:val="666B73"/>
          <w:sz w:val="20"/>
        </w:rPr>
        <w:t>GEO monitoring tested Subamerica across Perplexity, Gemini, ChatGPT and Claude using query sets designed around creator, streaming and independent-media intent.</w:t>
      </w:r>
    </w:p>
    <w:p>
      <w:pPr>
        <w:spacing w:after="60"/>
        <w:jc w:val="center"/>
      </w:pPr>
      <w:r>
        <w:drawing>
          <wp:inline xmlns:a="http://schemas.openxmlformats.org/drawingml/2006/main" xmlns:pic="http://schemas.openxmlformats.org/drawingml/2006/picture">
            <wp:extent cx="5897880" cy="3066898"/>
            <wp:docPr id="7" name="Picture 7" descr="Image: image7.png"/>
            <wp:cNvGraphicFramePr>
              <a:graphicFrameLocks noChangeAspect="1"/>
            </wp:cNvGraphicFramePr>
            <a:graphic>
              <a:graphicData uri="http://schemas.openxmlformats.org/drawingml/2006/picture">
                <pic:pic>
                  <pic:nvPicPr>
                    <pic:cNvPr id="0" name="geo_visibility_comparison.png"/>
                    <pic:cNvPicPr/>
                  </pic:nvPicPr>
                  <pic:blipFill>
                    <a:blip r:embed="rId17"/>
                    <a:stretch>
                      <a:fillRect/>
                    </a:stretch>
                  </pic:blipFill>
                  <pic:spPr>
                    <a:xfrm>
                      <a:off x="0" y="0"/>
                      <a:ext cx="5897880" cy="3066898"/>
                    </a:xfrm>
                    <a:prstGeom prst="rect"/>
                  </pic:spPr>
                </pic:pic>
              </a:graphicData>
            </a:graphic>
          </wp:inline>
        </w:drawing>
      </w:r>
    </w:p>
    <w:p>
      <w:pPr>
        <w:spacing w:after="140"/>
        <w:jc w:val="center"/>
      </w:pPr>
      <w:r>
        <w:rPr>
          <w:rFonts w:ascii="Lato" w:hAnsi="Lato"/>
          <w:b w:val="0"/>
          <w:color w:val="666B73"/>
          <w:sz w:val="15"/>
        </w:rPr>
        <w:t>GEO report comparison. Query counts changed between scans, so overall score and share-of-voice should be read as diagnostic snapshots rather than a simple month-over-month growth line.</w:t>
      </w:r>
    </w:p>
    <w:tbl>
      <w:tblPr>
        <w:tblW w:type="auto" w:w="0"/>
        <w:jc w:val="center"/>
        <w:tblLayout w:type="fixed"/>
        <w:tblLook w:firstColumn="1" w:firstRow="1" w:lastColumn="0" w:lastRow="0" w:noHBand="0" w:noVBand="1" w:val="04A0"/>
      </w:tblPr>
      <w:tblGrid>
        <w:gridCol w:w="5083"/>
        <w:gridCol w:w="5083"/>
      </w:tblGrid>
      <w:tr>
        <w:tc>
          <w:tcPr>
            <w:tcW w:type="dxa" w:w="4766"/>
            <w:shd w:fill="F7F4EF"/>
            <w:tcMar>
              <w:top w:w="150" w:type="dxa"/>
              <w:start w:w="170" w:type="dxa"/>
              <w:bottom w:w="150" w:type="dxa"/>
              <w:end w:w="170" w:type="dxa"/>
            </w:tcMar>
            <w:tcBorders>
              <w:top w:val="single" w:sz="5" w:color="D8DCE2"/>
              <w:left w:val="single" w:sz="5" w:color="D8DCE2"/>
              <w:bottom w:val="single" w:sz="5" w:color="D8DCE2"/>
              <w:right w:val="single" w:sz="5" w:color="D8DCE2"/>
            </w:tcBorders>
          </w:tcPr>
          <w:p>
            <w:pPr>
              <w:spacing w:after="80" w:line="250" w:lineRule="auto"/>
            </w:pPr>
            <w:r/>
            <w:r>
              <w:rPr>
                <w:rFonts w:ascii="Lato" w:hAnsi="Lato"/>
                <w:b/>
                <w:color w:val="111216"/>
                <w:sz w:val="21"/>
              </w:rPr>
              <w:t>August scan</w:t>
            </w:r>
          </w:p>
          <w:p>
            <w:pPr>
              <w:spacing w:after="80" w:line="250" w:lineRule="auto"/>
            </w:pPr>
            <w:r>
              <w:rPr>
                <w:rFonts w:ascii="Lato" w:hAnsi="Lato"/>
                <w:b/>
                <w:color w:val="7558FF"/>
                <w:sz w:val="38"/>
              </w:rPr>
              <w:t>64</w:t>
            </w:r>
          </w:p>
          <w:p>
            <w:pPr>
              <w:spacing w:after="80" w:line="250" w:lineRule="auto"/>
            </w:pPr>
            <w:r>
              <w:rPr>
                <w:rFonts w:ascii="Lato" w:hAnsi="Lato"/>
                <w:b w:val="0"/>
                <w:color w:val="666B73"/>
                <w:sz w:val="18"/>
              </w:rPr>
              <w:t>Overall visibility score.</w:t>
            </w:r>
          </w:p>
          <w:p>
            <w:pPr>
              <w:spacing w:after="80" w:line="250" w:lineRule="auto"/>
            </w:pPr>
            <w:r>
              <w:rPr>
                <w:rFonts w:ascii="Lato" w:hAnsi="Lato"/>
                <w:b w:val="0"/>
                <w:color w:val="666B73"/>
                <w:sz w:val="18"/>
              </w:rPr>
              <w:t>71% share of voice across 348 model responses from 87 tracked queries.</w:t>
            </w:r>
          </w:p>
          <w:p>
            <w:pPr>
              <w:spacing w:after="80" w:line="250" w:lineRule="auto"/>
            </w:pPr>
            <w:r>
              <w:rPr>
                <w:rFonts w:ascii="Lato" w:hAnsi="Lato"/>
                <w:b w:val="0"/>
                <w:color w:val="666B73"/>
                <w:sz w:val="18"/>
              </w:rPr>
              <w:t>Hit rates: Perplexity 100%, Gemini 93%, ChatGPT 100%, Claude 0%.</w:t>
            </w:r>
          </w:p>
        </w:tc>
        <w:tc>
          <w:tcPr>
            <w:tcW w:type="dxa" w:w="4766"/>
            <w:shd w:fill="EFF8F8"/>
            <w:tcMar>
              <w:top w:w="150" w:type="dxa"/>
              <w:start w:w="170" w:type="dxa"/>
              <w:bottom w:w="150" w:type="dxa"/>
              <w:end w:w="170" w:type="dxa"/>
            </w:tcMar>
            <w:tcBorders>
              <w:top w:val="single" w:sz="5" w:color="D8DCE2"/>
              <w:left w:val="single" w:sz="5" w:color="D8DCE2"/>
              <w:bottom w:val="single" w:sz="5" w:color="D8DCE2"/>
              <w:right w:val="single" w:sz="5" w:color="D8DCE2"/>
            </w:tcBorders>
          </w:tcPr>
          <w:p>
            <w:pPr>
              <w:spacing w:after="80" w:line="250" w:lineRule="auto"/>
            </w:pPr>
            <w:r/>
            <w:r>
              <w:rPr>
                <w:rFonts w:ascii="Lato" w:hAnsi="Lato"/>
                <w:b/>
                <w:color w:val="111216"/>
                <w:sz w:val="21"/>
              </w:rPr>
              <w:t>September scan</w:t>
            </w:r>
          </w:p>
          <w:p>
            <w:pPr>
              <w:spacing w:after="80" w:line="250" w:lineRule="auto"/>
            </w:pPr>
            <w:r>
              <w:rPr>
                <w:rFonts w:ascii="Lato" w:hAnsi="Lato"/>
                <w:b/>
                <w:color w:val="7558FF"/>
                <w:sz w:val="38"/>
              </w:rPr>
              <w:t>44</w:t>
            </w:r>
          </w:p>
          <w:p>
            <w:pPr>
              <w:spacing w:after="80" w:line="250" w:lineRule="auto"/>
            </w:pPr>
            <w:r>
              <w:rPr>
                <w:rFonts w:ascii="Lato" w:hAnsi="Lato"/>
                <w:b w:val="0"/>
                <w:color w:val="666B73"/>
                <w:sz w:val="18"/>
              </w:rPr>
              <w:t>Overall visibility score.</w:t>
            </w:r>
          </w:p>
          <w:p>
            <w:pPr>
              <w:spacing w:after="80" w:line="250" w:lineRule="auto"/>
            </w:pPr>
            <w:r>
              <w:rPr>
                <w:rFonts w:ascii="Lato" w:hAnsi="Lato"/>
                <w:b w:val="0"/>
                <w:color w:val="666B73"/>
                <w:sz w:val="18"/>
              </w:rPr>
              <w:t>51% share of voice across 169 model responses from 42 tracked queries.</w:t>
            </w:r>
          </w:p>
          <w:p>
            <w:pPr>
              <w:spacing w:after="80" w:line="250" w:lineRule="auto"/>
            </w:pPr>
            <w:r>
              <w:rPr>
                <w:rFonts w:ascii="Lato" w:hAnsi="Lato"/>
                <w:b w:val="0"/>
                <w:color w:val="666B73"/>
                <w:sz w:val="18"/>
              </w:rPr>
              <w:t>Hit rates: Perplexity 91%, Gemini 45%, ChatGPT 45%, Claude 36%.</w:t>
            </w:r>
          </w:p>
        </w:tc>
        <w:trPr>
          <w:tblHeader/>
        </w:trPr>
      </w:tr>
    </w:tbl>
    <w:p>
      <w:pPr>
        <w:spacing w:after="40"/>
      </w:pPr>
    </w:p>
    <w:tbl>
      <w:tblPr>
        <w:tblW w:type="auto" w:w="0"/>
        <w:jc w:val="center"/>
        <w:tblLook w:firstColumn="1" w:firstRow="1" w:lastColumn="0" w:lastRow="0" w:noHBand="0" w:noVBand="1" w:val="04A0"/>
      </w:tblPr>
      <w:tblGrid>
        <w:gridCol w:w="10166"/>
      </w:tblGrid>
      <w:tr>
        <w:tc>
          <w:tcPr>
            <w:tcW w:type="dxa" w:w="10166"/>
            <w:shd w:fill="F2F0FB"/>
            <w:tcMar>
              <w:top w:w="170" w:type="dxa"/>
              <w:start w:w="200" w:type="dxa"/>
              <w:bottom w:w="170" w:type="dxa"/>
              <w:end w:w="200" w:type="dxa"/>
            </w:tcMar>
            <w:tcBorders>
              <w:top w:val="single" w:sz="14" w:color="7558FF"/>
              <w:left w:val="single" w:sz="14" w:color="7558FF"/>
              <w:bottom w:val="single" w:sz="14" w:color="7558FF"/>
              <w:right w:val="single" w:sz="14" w:color="7558FF"/>
            </w:tcBorders>
          </w:tcPr>
          <w:p>
            <w:pPr>
              <w:spacing w:after="80"/>
            </w:pPr>
            <w:r/>
            <w:r>
              <w:rPr>
                <w:rFonts w:ascii="Lato" w:hAnsi="Lato"/>
                <w:b/>
                <w:color w:val="111216"/>
                <w:sz w:val="21"/>
              </w:rPr>
              <w:t>What changed in the model mix</w:t>
            </w:r>
          </w:p>
          <w:p>
            <w:pPr>
              <w:spacing w:after="0"/>
            </w:pPr>
            <w:r>
              <w:rPr>
                <w:rFonts w:ascii="Lato" w:hAnsi="Lato"/>
                <w:b w:val="0"/>
                <w:color w:val="666B73"/>
                <w:sz w:val="18"/>
              </w:rPr>
              <w:t>September shows less concentrated visibility: Claude moved from 0% to 36% hit rate, while Gemini and ChatGPT fell from their August test levels. That makes the September picture broader across models, but also more variable by model and query set.</w:t>
            </w:r>
          </w:p>
        </w:tc>
        <w:trPr>
          <w:tblHeader/>
        </w:trPr>
      </w:tr>
    </w:tbl>
    <w:p>
      <w:pPr>
        <w:spacing w:after="40"/>
      </w:pPr>
    </w:p>
    <w:p>
      <w:pPr>
        <w:spacing w:after="60"/>
        <w:jc w:val="center"/>
      </w:pPr>
      <w:r>
        <w:drawing>
          <wp:inline xmlns:a="http://schemas.openxmlformats.org/drawingml/2006/main" xmlns:pic="http://schemas.openxmlformats.org/drawingml/2006/picture">
            <wp:extent cx="5852160" cy="7573384"/>
            <wp:docPr id="8" name="Picture 8" descr="Image: image8.png"/>
            <wp:cNvGraphicFramePr>
              <a:graphicFrameLocks noChangeAspect="1"/>
            </wp:cNvGraphicFramePr>
            <a:graphic>
              <a:graphicData uri="http://schemas.openxmlformats.org/drawingml/2006/picture">
                <pic:pic>
                  <pic:nvPicPr>
                    <pic:cNvPr id="0" name="geo_sep_p3.png"/>
                    <pic:cNvPicPr/>
                  </pic:nvPicPr>
                  <pic:blipFill>
                    <a:blip r:embed="rId18"/>
                    <a:stretch>
                      <a:fillRect/>
                    </a:stretch>
                  </pic:blipFill>
                  <pic:spPr>
                    <a:xfrm>
                      <a:off x="0" y="0"/>
                      <a:ext cx="5852160" cy="7573384"/>
                    </a:xfrm>
                    <a:prstGeom prst="rect"/>
                  </pic:spPr>
                </pic:pic>
              </a:graphicData>
            </a:graphic>
          </wp:inline>
        </w:drawing>
      </w:r>
    </w:p>
    <w:p>
      <w:pPr>
        <w:spacing w:after="140"/>
        <w:jc w:val="center"/>
      </w:pPr>
      <w:r>
        <w:rPr>
          <w:rFonts w:ascii="Lato" w:hAnsi="Lato"/>
          <w:b w:val="0"/>
          <w:color w:val="666B73"/>
          <w:sz w:val="15"/>
        </w:rPr>
        <w:t>September GEO evidence: top cited queries and citation-velocity summary.</w:t>
      </w:r>
    </w:p>
    <w:p>
      <w:r>
        <w:br w:type="page"/>
      </w:r>
    </w:p>
    <w:p>
      <w:pPr>
        <w:keepNext/>
        <w:spacing w:after="60"/>
      </w:pPr>
      <w:r>
        <w:rPr>
          <w:rFonts w:ascii="Lato" w:hAnsi="Lato"/>
          <w:b/>
          <w:color w:val="7558FF"/>
          <w:sz w:val="17"/>
        </w:rPr>
        <w:t>07 / DELIVERY SYSTEM</w:t>
      </w:r>
    </w:p>
    <w:p>
      <w:pPr>
        <w:keepNext/>
        <w:spacing w:before="0" w:after="100"/>
      </w:pPr>
      <w:r>
        <w:rPr>
          <w:rFonts w:ascii="Lato" w:hAnsi="Lato"/>
          <w:b/>
          <w:color w:val="111216"/>
          <w:sz w:val="48"/>
        </w:rPr>
        <w:t>A practical three-layer visibility engine</w:t>
      </w:r>
    </w:p>
    <w:p>
      <w:pPr>
        <w:spacing w:before="0" w:after="180" w:line="259" w:lineRule="auto"/>
        <w:jc w:val="left"/>
      </w:pPr>
      <w:r>
        <w:rPr>
          <w:rFonts w:ascii="Lato" w:hAnsi="Lato"/>
          <w:b w:val="0"/>
          <w:color w:val="666B73"/>
          <w:sz w:val="20"/>
        </w:rPr>
        <w:t>The monthly reports show SEO, AEO and GEO reinforcing the same content and entity architecture rather than operating as separate tactics.</w:t>
      </w:r>
    </w:p>
    <w:tbl>
      <w:tblPr>
        <w:tblW w:type="auto" w:w="0"/>
        <w:jc w:val="center"/>
        <w:tblLayout w:type="fixed"/>
        <w:tblLook w:firstColumn="1" w:firstRow="1" w:lastColumn="0" w:lastRow="0" w:noHBand="0" w:noVBand="1" w:val="04A0"/>
      </w:tblPr>
      <w:tblGrid>
        <w:gridCol w:w="3389"/>
        <w:gridCol w:w="3389"/>
        <w:gridCol w:w="3389"/>
      </w:tblGrid>
      <w:tr>
        <w:trPr>
          <w:tblHeader w:val="true"/>
          <w:cantSplit/>
        </w:trPr>
        <w:tc>
          <w:tcPr>
            <w:tcW w:type="dxa" w:w="1440"/>
            <w:shd w:fill="17191D"/>
            <w:tcMar>
              <w:top w:w="90" w:type="dxa"/>
              <w:start w:w="90" w:type="dxa"/>
              <w:bottom w:w="90" w:type="dxa"/>
              <w:end w:w="90" w:type="dxa"/>
            </w:tcMar>
            <w:tcBorders>
              <w:top w:val="single" w:sz="4" w:color="17191D"/>
              <w:left w:val="single" w:sz="4" w:color="17191D"/>
              <w:bottom w:val="single" w:sz="4" w:color="17191D"/>
              <w:right w:val="single" w:sz="4" w:color="17191D"/>
            </w:tcBorders>
          </w:tcPr>
          <w:p>
            <w:pPr>
              <w:spacing w:after="0"/>
            </w:pPr>
            <w:r/>
            <w:r>
              <w:rPr>
                <w:rFonts w:ascii="Lato" w:hAnsi="Lato"/>
                <w:b/>
                <w:color w:val="FFFFFF"/>
                <w:sz w:val="17"/>
              </w:rPr>
              <w:t>Layer</w:t>
            </w:r>
          </w:p>
        </w:tc>
        <w:tc>
          <w:tcPr>
            <w:tcW w:type="dxa" w:w="4392"/>
            <w:shd w:fill="17191D"/>
            <w:tcMar>
              <w:top w:w="90" w:type="dxa"/>
              <w:start w:w="90" w:type="dxa"/>
              <w:bottom w:w="90" w:type="dxa"/>
              <w:end w:w="90" w:type="dxa"/>
            </w:tcMar>
            <w:tcBorders>
              <w:top w:val="single" w:sz="4" w:color="17191D"/>
              <w:left w:val="single" w:sz="4" w:color="17191D"/>
              <w:bottom w:val="single" w:sz="4" w:color="17191D"/>
              <w:right w:val="single" w:sz="4" w:color="17191D"/>
            </w:tcBorders>
          </w:tcPr>
          <w:p>
            <w:pPr>
              <w:spacing w:after="0"/>
            </w:pPr>
            <w:r/>
            <w:r>
              <w:rPr>
                <w:rFonts w:ascii="Lato" w:hAnsi="Lato"/>
                <w:b/>
                <w:color w:val="FFFFFF"/>
                <w:sz w:val="17"/>
              </w:rPr>
              <w:t>Execution documented in reports</w:t>
            </w:r>
          </w:p>
        </w:tc>
        <w:tc>
          <w:tcPr>
            <w:tcW w:type="dxa" w:w="4032"/>
            <w:shd w:fill="17191D"/>
            <w:tcMar>
              <w:top w:w="90" w:type="dxa"/>
              <w:start w:w="90" w:type="dxa"/>
              <w:bottom w:w="90" w:type="dxa"/>
              <w:end w:w="90" w:type="dxa"/>
            </w:tcMar>
            <w:tcBorders>
              <w:top w:val="single" w:sz="4" w:color="17191D"/>
              <w:left w:val="single" w:sz="4" w:color="17191D"/>
              <w:bottom w:val="single" w:sz="4" w:color="17191D"/>
              <w:right w:val="single" w:sz="4" w:color="17191D"/>
            </w:tcBorders>
          </w:tcPr>
          <w:p>
            <w:pPr>
              <w:spacing w:after="0"/>
            </w:pPr>
            <w:r/>
            <w:r>
              <w:rPr>
                <w:rFonts w:ascii="Lato" w:hAnsi="Lato"/>
                <w:b/>
                <w:color w:val="FFFFFF"/>
                <w:sz w:val="17"/>
              </w:rPr>
              <w:t>Why it matters</w:t>
            </w:r>
          </w:p>
        </w:tc>
      </w:tr>
      <w:tr>
        <w:trPr>
          <w:cantSplit/>
        </w:trPr>
        <w:tc>
          <w:tcPr>
            <w:tcW w:type="dxa" w:w="144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SEO</w:t>
            </w:r>
          </w:p>
        </w:tc>
        <w:tc>
          <w:tcPr>
            <w:tcW w:type="dxa" w:w="439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NYC keyword tracking; off-page distribution; branded and semantic query expansion</w:t>
            </w:r>
          </w:p>
        </w:tc>
        <w:tc>
          <w:tcPr>
            <w:tcW w:type="dxa" w:w="403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Creates conventional search entry points and supports discoverability for creator / streaming intent.</w:t>
            </w:r>
          </w:p>
        </w:tc>
      </w:tr>
      <w:tr>
        <w:trPr>
          <w:cantSplit/>
        </w:trPr>
        <w:tc>
          <w:tcPr>
            <w:tcW w:type="dxa" w:w="1440"/>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AEO</w:t>
            </w:r>
          </w:p>
        </w:tc>
        <w:tc>
          <w:tcPr>
            <w:tcW w:type="dxa" w:w="439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Schema; FAQ and answer content; semantic HTML; internal linking; page depth; entity and organization signals</w:t>
            </w:r>
          </w:p>
        </w:tc>
        <w:tc>
          <w:tcPr>
            <w:tcW w:type="dxa" w:w="403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Makes the site easier for search engines and AI systems to parse, summarize and connect.</w:t>
            </w:r>
          </w:p>
        </w:tc>
      </w:tr>
      <w:tr>
        <w:trPr>
          <w:cantSplit/>
        </w:trPr>
        <w:tc>
          <w:tcPr>
            <w:tcW w:type="dxa" w:w="1440"/>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GEO</w:t>
            </w:r>
          </w:p>
        </w:tc>
        <w:tc>
          <w:tcPr>
            <w:tcW w:type="dxa" w:w="439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Multi-model query testing; heat maps; citation velocity; share of voice; competitor benchmarks</w:t>
            </w:r>
          </w:p>
        </w:tc>
        <w:tc>
          <w:tcPr>
            <w:tcW w:type="dxa" w:w="4032"/>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Measures whether Subamerica appears in AI answers and what sources / queries drive that visibility.</w:t>
            </w:r>
          </w:p>
        </w:tc>
      </w:tr>
      <w:tr>
        <w:trPr>
          <w:cantSplit/>
        </w:trPr>
        <w:tc>
          <w:tcPr>
            <w:tcW w:type="dxa" w:w="1440"/>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Entity / authority</w:t>
            </w:r>
          </w:p>
        </w:tc>
        <w:tc>
          <w:tcPr>
            <w:tcW w:type="dxa" w:w="439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Brand mentions, creator / media profiles, Wikidata and structured “sameAs” direction</w:t>
            </w:r>
          </w:p>
        </w:tc>
        <w:tc>
          <w:tcPr>
            <w:tcW w:type="dxa" w:w="4032"/>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Builds a clearer machine-readable identity beyond the primary domain.</w:t>
            </w:r>
          </w:p>
        </w:tc>
      </w:tr>
    </w:tbl>
    <w:p>
      <w:pPr>
        <w:spacing w:after="40"/>
      </w:pPr>
    </w:p>
    <w:p>
      <w:pPr>
        <w:keepNext/>
        <w:spacing w:before="0" w:after="80"/>
      </w:pPr>
      <w:r>
        <w:rPr>
          <w:rFonts w:ascii="Lato" w:hAnsi="Lato"/>
          <w:b/>
          <w:color w:val="111216"/>
          <w:sz w:val="30"/>
        </w:rPr>
        <w:t>Core content / technical opportunities surfaced by the reports</w:t>
      </w:r>
    </w:p>
    <w:p>
      <w:pPr>
        <w:pStyle w:val="ListBullet"/>
        <w:spacing w:after="80" w:line="250" w:lineRule="auto"/>
        <w:ind w:left="259" w:hanging="158"/>
      </w:pPr>
      <w:r>
        <w:rPr>
          <w:rFonts w:ascii="Lato" w:hAnsi="Lato"/>
          <w:b w:val="0"/>
          <w:color w:val="111216"/>
          <w:sz w:val="19"/>
        </w:rPr>
        <w:t>Expand structured answer content and FAQ schema on high-value pages.</w:t>
      </w:r>
    </w:p>
    <w:p>
      <w:pPr>
        <w:pStyle w:val="ListBullet"/>
        <w:spacing w:after="80" w:line="250" w:lineRule="auto"/>
        <w:ind w:left="259" w:hanging="158"/>
      </w:pPr>
      <w:r>
        <w:rPr>
          <w:rFonts w:ascii="Lato" w:hAnsi="Lato"/>
          <w:b w:val="0"/>
          <w:color w:val="111216"/>
          <w:sz w:val="19"/>
        </w:rPr>
        <w:t>Strengthen semantic HTML and heading hierarchy across creator, watch, channel, network and service pages.</w:t>
      </w:r>
    </w:p>
    <w:p>
      <w:pPr>
        <w:pStyle w:val="ListBullet"/>
        <w:spacing w:after="80" w:line="250" w:lineRule="auto"/>
        <w:ind w:left="259" w:hanging="158"/>
      </w:pPr>
      <w:r>
        <w:rPr>
          <w:rFonts w:ascii="Lato" w:hAnsi="Lato"/>
          <w:b w:val="0"/>
          <w:color w:val="111216"/>
          <w:sz w:val="19"/>
        </w:rPr>
        <w:t>Increase internal linking depth so related creator / streaming concepts are connected more explicitly.</w:t>
      </w:r>
    </w:p>
    <w:p>
      <w:pPr>
        <w:pStyle w:val="ListBullet"/>
        <w:spacing w:after="80" w:line="250" w:lineRule="auto"/>
        <w:ind w:left="259" w:hanging="158"/>
      </w:pPr>
      <w:r>
        <w:rPr>
          <w:rFonts w:ascii="Lato" w:hAnsi="Lato"/>
          <w:b w:val="0"/>
          <w:color w:val="111216"/>
          <w:sz w:val="19"/>
        </w:rPr>
        <w:t>Improve entity consistency and authoritative external references so AI systems can resolve Subamerica as a distinct organization.</w:t>
      </w:r>
    </w:p>
    <w:p>
      <w:pPr>
        <w:pStyle w:val="ListBullet"/>
        <w:spacing w:after="80" w:line="250" w:lineRule="auto"/>
        <w:ind w:left="259" w:hanging="158"/>
      </w:pPr>
      <w:r>
        <w:rPr>
          <w:rFonts w:ascii="Lato" w:hAnsi="Lato"/>
          <w:b w:val="0"/>
          <w:color w:val="111216"/>
          <w:sz w:val="19"/>
        </w:rPr>
        <w:t>Develop comparison and definition-first pages around monetization, platform access, creator ownership and streaming distribution.</w:t>
      </w:r>
    </w:p>
    <w:tbl>
      <w:tblPr>
        <w:tblW w:type="auto" w:w="0"/>
        <w:jc w:val="center"/>
        <w:tblLook w:firstColumn="1" w:firstRow="1" w:lastColumn="0" w:lastRow="0" w:noHBand="0" w:noVBand="1" w:val="04A0"/>
      </w:tblPr>
      <w:tblGrid>
        <w:gridCol w:w="10166"/>
      </w:tblGrid>
      <w:tr>
        <w:tc>
          <w:tcPr>
            <w:tcW w:type="dxa" w:w="10166"/>
            <w:shd w:fill="EFF8F8"/>
            <w:tcMar>
              <w:top w:w="170" w:type="dxa"/>
              <w:start w:w="200" w:type="dxa"/>
              <w:bottom w:w="170" w:type="dxa"/>
              <w:end w:w="200" w:type="dxa"/>
            </w:tcMar>
            <w:tcBorders>
              <w:top w:val="single" w:sz="14" w:color="11B8C0"/>
              <w:left w:val="single" w:sz="14" w:color="11B8C0"/>
              <w:bottom w:val="single" w:sz="14" w:color="11B8C0"/>
              <w:right w:val="single" w:sz="14" w:color="11B8C0"/>
            </w:tcBorders>
          </w:tcPr>
          <w:p>
            <w:pPr>
              <w:spacing w:after="80"/>
            </w:pPr>
            <w:r/>
            <w:r>
              <w:rPr>
                <w:rFonts w:ascii="Lato" w:hAnsi="Lato"/>
                <w:b/>
                <w:color w:val="111216"/>
                <w:sz w:val="21"/>
              </w:rPr>
              <w:t>A single ontology across all three layers</w:t>
            </w:r>
          </w:p>
          <w:p>
            <w:pPr>
              <w:spacing w:after="0"/>
            </w:pPr>
            <w:r>
              <w:rPr>
                <w:rFonts w:ascii="Lato" w:hAnsi="Lato"/>
                <w:b w:val="0"/>
                <w:color w:val="666B73"/>
                <w:sz w:val="18"/>
              </w:rPr>
              <w:t>The most durable part of the program is consistency: “Subamerica,” “creator portal,” “indie underground,” “streaming,” “connected TV,” “artist-owned,” and “monetization” recur across keyword tracking, AEO questions and GEO model prompts.</w:t>
            </w:r>
          </w:p>
        </w:tc>
        <w:trPr>
          <w:tblHeader/>
        </w:trPr>
      </w:tr>
    </w:tbl>
    <w:p>
      <w:pPr>
        <w:spacing w:after="40"/>
      </w:pPr>
    </w:p>
    <w:p>
      <w:r>
        <w:br w:type="page"/>
      </w:r>
    </w:p>
    <w:p>
      <w:pPr>
        <w:keepNext/>
        <w:spacing w:after="60"/>
      </w:pPr>
      <w:r>
        <w:rPr>
          <w:rFonts w:ascii="Lato" w:hAnsi="Lato"/>
          <w:b/>
          <w:color w:val="7558FF"/>
          <w:sz w:val="17"/>
        </w:rPr>
        <w:t>08 / EVIDENCE</w:t>
      </w:r>
    </w:p>
    <w:p>
      <w:pPr>
        <w:keepNext/>
        <w:spacing w:before="0" w:after="100"/>
      </w:pPr>
      <w:r>
        <w:rPr>
          <w:rFonts w:ascii="Lato" w:hAnsi="Lato"/>
          <w:b/>
          <w:color w:val="111216"/>
          <w:sz w:val="48"/>
        </w:rPr>
        <w:t>Source-report evidence gallery</w:t>
      </w:r>
    </w:p>
    <w:p>
      <w:pPr>
        <w:spacing w:before="0" w:after="180" w:line="259" w:lineRule="auto"/>
        <w:jc w:val="left"/>
      </w:pPr>
      <w:r>
        <w:rPr>
          <w:rFonts w:ascii="Lato" w:hAnsi="Lato"/>
          <w:b w:val="0"/>
          <w:color w:val="666B73"/>
          <w:sz w:val="20"/>
        </w:rPr>
        <w:t>Selected first-page and diagnostic snapshots are included so the case study can be audited and repurposed for a web case-study page.</w:t>
      </w:r>
    </w:p>
    <w:tbl>
      <w:tblPr>
        <w:tblW w:type="auto" w:w="0"/>
        <w:jc w:val="center"/>
        <w:tblLayout w:type="fixed"/>
        <w:tblLook w:firstColumn="1" w:firstRow="1" w:lastColumn="0" w:lastRow="0" w:noHBand="0" w:noVBand="1" w:val="04A0"/>
      </w:tblPr>
      <w:tblGrid>
        <w:gridCol w:w="5083"/>
        <w:gridCol w:w="5083"/>
      </w:tblGrid>
      <w:tr>
        <w:tc>
          <w:tcPr>
            <w:tcW w:type="dxa" w:w="4781"/>
            <w:shd w:fill="FAFBFC"/>
            <w:tcMar>
              <w:top w:w="60" w:type="dxa"/>
              <w:start w:w="60" w:type="dxa"/>
              <w:bottom w:w="70" w:type="dxa"/>
              <w:end w:w="60" w:type="dxa"/>
            </w:tcMar>
            <w:tcBorders>
              <w:top w:val="single" w:sz="5" w:color="D8DCE2"/>
              <w:left w:val="single" w:sz="5" w:color="D8DCE2"/>
              <w:bottom w:val="single" w:sz="5" w:color="D8DCE2"/>
              <w:right w:val="single" w:sz="5" w:color="D8DCE2"/>
            </w:tcBorders>
          </w:tcPr>
          <w:p>
            <w:pPr>
              <w:spacing w:after="40"/>
              <w:jc w:val="center"/>
            </w:pPr>
            <w:r>
              <w:drawing>
                <wp:inline xmlns:a="http://schemas.openxmlformats.org/drawingml/2006/main" xmlns:pic="http://schemas.openxmlformats.org/drawingml/2006/picture">
                  <wp:extent cx="2743200" cy="2057400"/>
                  <wp:docPr id="9" name="Picture 9" descr="Image: image9.png"/>
                  <wp:cNvGraphicFramePr>
                    <a:graphicFrameLocks noChangeAspect="1"/>
                  </wp:cNvGraphicFramePr>
                  <a:graphic>
                    <a:graphicData uri="http://schemas.openxmlformats.org/drawingml/2006/picture">
                      <pic:pic>
                        <pic:nvPicPr>
                          <pic:cNvPr id="0" name="seo_aug_p1.png"/>
                          <pic:cNvPicPr/>
                        </pic:nvPicPr>
                        <pic:blipFill>
                          <a:blip r:embed="rId19"/>
                          <a:stretch>
                            <a:fillRect/>
                          </a:stretch>
                        </pic:blipFill>
                        <pic:spPr>
                          <a:xfrm>
                            <a:off x="0" y="0"/>
                            <a:ext cx="2743200" cy="2057400"/>
                          </a:xfrm>
                          <a:prstGeom prst="rect"/>
                        </pic:spPr>
                      </pic:pic>
                    </a:graphicData>
                  </a:graphic>
                </wp:inline>
              </w:drawing>
            </w:r>
          </w:p>
          <w:p>
            <w:pPr>
              <w:spacing w:after="0"/>
              <w:jc w:val="center"/>
            </w:pPr>
            <w:r>
              <w:rPr>
                <w:rFonts w:ascii="Lato" w:hAnsi="Lato"/>
                <w:b w:val="0"/>
                <w:color w:val="666B73"/>
                <w:sz w:val="14"/>
              </w:rPr>
              <w:t>SEO report cover - 8 Aug 2026</w:t>
            </w:r>
          </w:p>
        </w:tc>
        <w:tc>
          <w:tcPr>
            <w:tcW w:type="dxa" w:w="4781"/>
            <w:shd w:fill="FAFBFC"/>
            <w:tcMar>
              <w:top w:w="60" w:type="dxa"/>
              <w:start w:w="60" w:type="dxa"/>
              <w:bottom w:w="70" w:type="dxa"/>
              <w:end w:w="60" w:type="dxa"/>
            </w:tcMar>
            <w:tcBorders>
              <w:top w:val="single" w:sz="5" w:color="D8DCE2"/>
              <w:left w:val="single" w:sz="5" w:color="D8DCE2"/>
              <w:bottom w:val="single" w:sz="5" w:color="D8DCE2"/>
              <w:right w:val="single" w:sz="5" w:color="D8DCE2"/>
            </w:tcBorders>
          </w:tcPr>
          <w:p>
            <w:pPr>
              <w:spacing w:after="40"/>
              <w:jc w:val="center"/>
            </w:pPr>
            <w:r>
              <w:drawing>
                <wp:inline xmlns:a="http://schemas.openxmlformats.org/drawingml/2006/main" xmlns:pic="http://schemas.openxmlformats.org/drawingml/2006/picture">
                  <wp:extent cx="2743200" cy="2057400"/>
                  <wp:docPr id="10" name="Picture 10" descr="Image: image10.png"/>
                  <wp:cNvGraphicFramePr>
                    <a:graphicFrameLocks noChangeAspect="1"/>
                  </wp:cNvGraphicFramePr>
                  <a:graphic>
                    <a:graphicData uri="http://schemas.openxmlformats.org/drawingml/2006/picture">
                      <pic:pic>
                        <pic:nvPicPr>
                          <pic:cNvPr id="0" name="seo_sep_p6.png"/>
                          <pic:cNvPicPr/>
                        </pic:nvPicPr>
                        <pic:blipFill>
                          <a:blip r:embed="rId20"/>
                          <a:stretch>
                            <a:fillRect/>
                          </a:stretch>
                        </pic:blipFill>
                        <pic:spPr>
                          <a:xfrm>
                            <a:off x="0" y="0"/>
                            <a:ext cx="2743200" cy="2057400"/>
                          </a:xfrm>
                          <a:prstGeom prst="rect"/>
                        </pic:spPr>
                      </pic:pic>
                    </a:graphicData>
                  </a:graphic>
                </wp:inline>
              </w:drawing>
            </w:r>
          </w:p>
          <w:p>
            <w:pPr>
              <w:spacing w:after="0"/>
              <w:jc w:val="center"/>
            </w:pPr>
            <w:r>
              <w:rPr>
                <w:rFonts w:ascii="Lato" w:hAnsi="Lato"/>
                <w:b w:val="0"/>
                <w:color w:val="666B73"/>
                <w:sz w:val="14"/>
              </w:rPr>
              <w:t>SEO audience / channel snapshot - 21 Sep 2026</w:t>
            </w:r>
          </w:p>
        </w:tc>
        <w:trPr>
          <w:tblHeader/>
        </w:trPr>
      </w:tr>
      <w:tr>
        <w:tc>
          <w:tcPr>
            <w:tcW w:type="dxa" w:w="4781"/>
            <w:shd w:fill="FAFBFC"/>
            <w:tcMar>
              <w:top w:w="60" w:type="dxa"/>
              <w:start w:w="60" w:type="dxa"/>
              <w:bottom w:w="70" w:type="dxa"/>
              <w:end w:w="60" w:type="dxa"/>
            </w:tcMar>
            <w:tcBorders>
              <w:top w:val="single" w:sz="5" w:color="D8DCE2"/>
              <w:left w:val="single" w:sz="5" w:color="D8DCE2"/>
              <w:bottom w:val="single" w:sz="5" w:color="D8DCE2"/>
              <w:right w:val="single" w:sz="5" w:color="D8DCE2"/>
            </w:tcBorders>
          </w:tcPr>
          <w:p>
            <w:pPr>
              <w:spacing w:after="40"/>
              <w:jc w:val="center"/>
            </w:pPr>
            <w:r>
              <w:drawing>
                <wp:inline xmlns:a="http://schemas.openxmlformats.org/drawingml/2006/main" xmlns:pic="http://schemas.openxmlformats.org/drawingml/2006/picture">
                  <wp:extent cx="2743200" cy="3550024"/>
                  <wp:docPr id="11" name="Picture 11" descr="Image: image11.png"/>
                  <wp:cNvGraphicFramePr>
                    <a:graphicFrameLocks noChangeAspect="1"/>
                  </wp:cNvGraphicFramePr>
                  <a:graphic>
                    <a:graphicData uri="http://schemas.openxmlformats.org/drawingml/2006/picture">
                      <pic:pic>
                        <pic:nvPicPr>
                          <pic:cNvPr id="0" name="aeo_sep_p1.png"/>
                          <pic:cNvPicPr/>
                        </pic:nvPicPr>
                        <pic:blipFill>
                          <a:blip r:embed="rId21"/>
                          <a:stretch>
                            <a:fillRect/>
                          </a:stretch>
                        </pic:blipFill>
                        <pic:spPr>
                          <a:xfrm>
                            <a:off x="0" y="0"/>
                            <a:ext cx="2743200" cy="3550024"/>
                          </a:xfrm>
                          <a:prstGeom prst="rect"/>
                        </pic:spPr>
                      </pic:pic>
                    </a:graphicData>
                  </a:graphic>
                </wp:inline>
              </w:drawing>
            </w:r>
          </w:p>
          <w:p>
            <w:pPr>
              <w:spacing w:after="0"/>
              <w:jc w:val="center"/>
            </w:pPr>
            <w:r>
              <w:rPr>
                <w:rFonts w:ascii="Lato" w:hAnsi="Lato"/>
                <w:b w:val="0"/>
                <w:color w:val="666B73"/>
                <w:sz w:val="14"/>
              </w:rPr>
              <w:t>AEO domain audit - 9 Sep 2026</w:t>
            </w:r>
          </w:p>
        </w:tc>
        <w:tc>
          <w:tcPr>
            <w:tcW w:type="dxa" w:w="4781"/>
            <w:shd w:fill="FAFBFC"/>
            <w:tcMar>
              <w:top w:w="60" w:type="dxa"/>
              <w:start w:w="60" w:type="dxa"/>
              <w:bottom w:w="70" w:type="dxa"/>
              <w:end w:w="60" w:type="dxa"/>
            </w:tcMar>
            <w:tcBorders>
              <w:top w:val="single" w:sz="5" w:color="D8DCE2"/>
              <w:left w:val="single" w:sz="5" w:color="D8DCE2"/>
              <w:bottom w:val="single" w:sz="5" w:color="D8DCE2"/>
              <w:right w:val="single" w:sz="5" w:color="D8DCE2"/>
            </w:tcBorders>
          </w:tcPr>
          <w:p>
            <w:pPr>
              <w:spacing w:after="40"/>
              <w:jc w:val="center"/>
            </w:pPr>
            <w:r>
              <w:drawing>
                <wp:inline xmlns:a="http://schemas.openxmlformats.org/drawingml/2006/main" xmlns:pic="http://schemas.openxmlformats.org/drawingml/2006/picture">
                  <wp:extent cx="2743200" cy="3550024"/>
                  <wp:docPr id="12" name="Picture 12" descr="Image: image12.png"/>
                  <wp:cNvGraphicFramePr>
                    <a:graphicFrameLocks noChangeAspect="1"/>
                  </wp:cNvGraphicFramePr>
                  <a:graphic>
                    <a:graphicData uri="http://schemas.openxmlformats.org/drawingml/2006/picture">
                      <pic:pic>
                        <pic:nvPicPr>
                          <pic:cNvPr id="0" name="geo_sep_p1.png"/>
                          <pic:cNvPicPr/>
                        </pic:nvPicPr>
                        <pic:blipFill>
                          <a:blip r:embed="rId22"/>
                          <a:stretch>
                            <a:fillRect/>
                          </a:stretch>
                        </pic:blipFill>
                        <pic:spPr>
                          <a:xfrm>
                            <a:off x="0" y="0"/>
                            <a:ext cx="2743200" cy="3550024"/>
                          </a:xfrm>
                          <a:prstGeom prst="rect"/>
                        </pic:spPr>
                      </pic:pic>
                    </a:graphicData>
                  </a:graphic>
                </wp:inline>
              </w:drawing>
            </w:r>
          </w:p>
          <w:p>
            <w:pPr>
              <w:spacing w:after="0"/>
              <w:jc w:val="center"/>
            </w:pPr>
            <w:r>
              <w:rPr>
                <w:rFonts w:ascii="Lato" w:hAnsi="Lato"/>
                <w:b w:val="0"/>
                <w:color w:val="666B73"/>
                <w:sz w:val="14"/>
              </w:rPr>
              <w:t>GEO brand visibility report - 9 Sep 2026</w:t>
            </w:r>
          </w:p>
        </w:tc>
      </w:tr>
    </w:tbl>
    <w:p>
      <w:pPr>
        <w:spacing w:before="100" w:after="0" w:line="259" w:lineRule="auto"/>
        <w:jc w:val="center"/>
      </w:pPr>
      <w:r>
        <w:rPr>
          <w:rFonts w:ascii="Lato" w:hAnsi="Lato"/>
          <w:b w:val="0"/>
          <w:color w:val="666B73"/>
          <w:sz w:val="15"/>
        </w:rPr>
        <w:t>Evidence source: client-provided monthly SEO, AEO and GEO reports. Screenshots are supporting exhibits; headline metrics are summarized in the preceding pages.</w:t>
      </w:r>
    </w:p>
    <w:p>
      <w:r>
        <w:br w:type="page"/>
      </w:r>
    </w:p>
    <w:p>
      <w:pPr>
        <w:keepNext/>
        <w:spacing w:after="60"/>
      </w:pPr>
      <w:r>
        <w:rPr>
          <w:rFonts w:ascii="Lato" w:hAnsi="Lato"/>
          <w:b/>
          <w:color w:val="7558FF"/>
          <w:sz w:val="17"/>
        </w:rPr>
        <w:t>09 / IMPLICATIONS</w:t>
      </w:r>
    </w:p>
    <w:p>
      <w:pPr>
        <w:keepNext/>
        <w:spacing w:before="0" w:after="100"/>
      </w:pPr>
      <w:r>
        <w:rPr>
          <w:rFonts w:ascii="Lato" w:hAnsi="Lato"/>
          <w:b/>
          <w:color w:val="111216"/>
          <w:sz w:val="48"/>
        </w:rPr>
        <w:t>What the work demonstrates</w:t>
      </w:r>
    </w:p>
    <w:p>
      <w:pPr>
        <w:spacing w:before="0" w:after="180" w:line="259" w:lineRule="auto"/>
        <w:jc w:val="left"/>
      </w:pPr>
      <w:r>
        <w:rPr>
          <w:rFonts w:ascii="Lato" w:hAnsi="Lato"/>
          <w:b w:val="0"/>
          <w:color w:val="666B73"/>
          <w:sz w:val="20"/>
        </w:rPr>
        <w:t>The case is best understood as a transition from “being findable” to “being understandable and citable” across multiple discovery systems.</w:t>
      </w:r>
    </w:p>
    <w:tbl>
      <w:tblPr>
        <w:tblW w:type="auto" w:w="0"/>
        <w:jc w:val="center"/>
        <w:tblLayout w:type="fixed"/>
        <w:tblLook w:firstColumn="1" w:firstRow="1" w:lastColumn="0" w:lastRow="0" w:noHBand="0" w:noVBand="1" w:val="04A0"/>
      </w:tblPr>
      <w:tblGrid>
        <w:gridCol w:w="5083"/>
        <w:gridCol w:w="5083"/>
      </w:tblGrid>
      <w:tr>
        <w:tc>
          <w:tcPr>
            <w:tcW w:type="dxa" w:w="4766"/>
            <w:shd w:fill="F7F4EF"/>
            <w:tcMar>
              <w:top w:w="150" w:type="dxa"/>
              <w:start w:w="170" w:type="dxa"/>
              <w:bottom w:w="150" w:type="dxa"/>
              <w:end w:w="170" w:type="dxa"/>
            </w:tcMar>
            <w:tcBorders>
              <w:top w:val="single" w:sz="5" w:color="D8DCE2"/>
              <w:left w:val="single" w:sz="5" w:color="D8DCE2"/>
              <w:bottom w:val="single" w:sz="5" w:color="D8DCE2"/>
              <w:right w:val="single" w:sz="5" w:color="D8DCE2"/>
            </w:tcBorders>
          </w:tcPr>
          <w:p>
            <w:pPr>
              <w:spacing w:after="80" w:line="250" w:lineRule="auto"/>
            </w:pPr>
            <w:r/>
            <w:r>
              <w:rPr>
                <w:rFonts w:ascii="Lato" w:hAnsi="Lato"/>
                <w:b/>
                <w:color w:val="111216"/>
                <w:sz w:val="21"/>
              </w:rPr>
              <w:t>Demonstrated</w:t>
            </w:r>
          </w:p>
          <w:p>
            <w:pPr>
              <w:spacing w:after="80" w:line="250" w:lineRule="auto"/>
            </w:pPr>
            <w:r>
              <w:rPr>
                <w:rFonts w:ascii="Lato" w:hAnsi="Lato"/>
                <w:b w:val="0"/>
                <w:color w:val="666B73"/>
                <w:sz w:val="18"/>
              </w:rPr>
              <w:t>Branded discovery: Subamerica Creator Portal and Subamerica Network were #1 in both August and September SEO snapshots.</w:t>
            </w:r>
          </w:p>
          <w:p>
            <w:pPr>
              <w:spacing w:after="80" w:line="250" w:lineRule="auto"/>
            </w:pPr>
            <w:r>
              <w:rPr>
                <w:rFonts w:ascii="Lato" w:hAnsi="Lato"/>
                <w:b w:val="0"/>
                <w:color w:val="666B73"/>
                <w:sz w:val="18"/>
              </w:rPr>
              <w:t>Semantic discovery: page-1 coverage expanded to include Indie Underground Media Network and Indie Underground Streaming TV at #1 in September.</w:t>
            </w:r>
          </w:p>
          <w:p>
            <w:pPr>
              <w:spacing w:after="80" w:line="250" w:lineRule="auto"/>
            </w:pPr>
            <w:r>
              <w:rPr>
                <w:rFonts w:ascii="Lato" w:hAnsi="Lato"/>
                <w:b w:val="0"/>
                <w:color w:val="666B73"/>
                <w:sz w:val="18"/>
              </w:rPr>
              <w:t>Search depth: September organic search reported 78.1% engagement, with 32 seconds average engagement time in the channel table.</w:t>
            </w:r>
          </w:p>
          <w:p>
            <w:pPr>
              <w:spacing w:after="80" w:line="250" w:lineRule="auto"/>
            </w:pPr>
            <w:r>
              <w:rPr>
                <w:rFonts w:ascii="Lato" w:hAnsi="Lato"/>
                <w:b w:val="0"/>
                <w:color w:val="666B73"/>
                <w:sz w:val="18"/>
              </w:rPr>
              <w:t>AI readiness: latest AEO audit reported 100 answer inclusion, 100 generative visibility and 100 recommendation consistency.</w:t>
            </w:r>
          </w:p>
        </w:tc>
        <w:tc>
          <w:tcPr>
            <w:tcW w:type="dxa" w:w="4766"/>
            <w:shd w:fill="F2F0FB"/>
            <w:tcMar>
              <w:top w:w="150" w:type="dxa"/>
              <w:start w:w="170" w:type="dxa"/>
              <w:bottom w:w="150" w:type="dxa"/>
              <w:end w:w="170" w:type="dxa"/>
            </w:tcMar>
            <w:tcBorders>
              <w:top w:val="single" w:sz="5" w:color="D8DCE2"/>
              <w:left w:val="single" w:sz="5" w:color="D8DCE2"/>
              <w:bottom w:val="single" w:sz="5" w:color="D8DCE2"/>
              <w:right w:val="single" w:sz="5" w:color="D8DCE2"/>
            </w:tcBorders>
          </w:tcPr>
          <w:p>
            <w:pPr>
              <w:spacing w:after="80" w:line="250" w:lineRule="auto"/>
            </w:pPr>
            <w:r/>
            <w:r>
              <w:rPr>
                <w:rFonts w:ascii="Lato" w:hAnsi="Lato"/>
                <w:b/>
                <w:color w:val="111216"/>
                <w:sz w:val="21"/>
              </w:rPr>
              <w:t>Still developing</w:t>
            </w:r>
          </w:p>
          <w:p>
            <w:pPr>
              <w:spacing w:after="80" w:line="250" w:lineRule="auto"/>
            </w:pPr>
            <w:r>
              <w:rPr>
                <w:rFonts w:ascii="Lato" w:hAnsi="Lato"/>
                <w:b w:val="0"/>
                <w:color w:val="666B73"/>
                <w:sz w:val="18"/>
              </w:rPr>
              <w:t>GEO visibility remained uneven by model; Claude improved into measurable territory, while Gemini and ChatGPT were lower in the September scan.</w:t>
            </w:r>
          </w:p>
          <w:p>
            <w:pPr>
              <w:spacing w:after="80" w:line="250" w:lineRule="auto"/>
            </w:pPr>
            <w:r>
              <w:rPr>
                <w:rFonts w:ascii="Lato" w:hAnsi="Lato"/>
                <w:b w:val="0"/>
                <w:color w:val="666B73"/>
                <w:sz w:val="18"/>
              </w:rPr>
              <w:t>The latest AEO diagnostic still shows limited semantic authority and entity salience as important next-stage work.</w:t>
            </w:r>
          </w:p>
          <w:p>
            <w:pPr>
              <w:spacing w:after="80" w:line="250" w:lineRule="auto"/>
            </w:pPr>
            <w:r>
              <w:rPr>
                <w:rFonts w:ascii="Lato" w:hAnsi="Lato"/>
                <w:b w:val="0"/>
                <w:color w:val="666B73"/>
                <w:sz w:val="18"/>
              </w:rPr>
              <w:t>Non-branded discovery for artist community and monetization terms remained weaker than the core branded footprint.</w:t>
            </w:r>
          </w:p>
          <w:p>
            <w:pPr>
              <w:spacing w:after="80" w:line="250" w:lineRule="auto"/>
            </w:pPr>
            <w:r>
              <w:rPr>
                <w:rFonts w:ascii="Lato" w:hAnsi="Lato"/>
                <w:b w:val="0"/>
                <w:color w:val="666B73"/>
                <w:sz w:val="18"/>
              </w:rPr>
              <w:t>The supplied reports do not establish a direct lead or revenue attribution, so none is claimed here.</w:t>
            </w:r>
          </w:p>
        </w:tc>
        <w:trPr>
          <w:tblHeader/>
        </w:trPr>
      </w:tr>
    </w:tbl>
    <w:p>
      <w:pPr>
        <w:spacing w:after="40"/>
      </w:pPr>
    </w:p>
    <w:p>
      <w:pPr>
        <w:keepNext/>
        <w:spacing w:before="0" w:after="80"/>
      </w:pPr>
      <w:r>
        <w:rPr>
          <w:rFonts w:ascii="Lato" w:hAnsi="Lato"/>
          <w:b/>
          <w:color w:val="111216"/>
          <w:sz w:val="30"/>
        </w:rPr>
        <w:t>Next-stage priorities</w:t>
      </w:r>
    </w:p>
    <w:p>
      <w:pPr>
        <w:pStyle w:val="ListBullet"/>
        <w:spacing w:after="80" w:line="250" w:lineRule="auto"/>
        <w:ind w:left="259" w:hanging="158"/>
      </w:pPr>
      <w:r>
        <w:rPr>
          <w:rFonts w:ascii="Lato" w:hAnsi="Lato"/>
          <w:b w:val="0"/>
          <w:color w:val="111216"/>
          <w:sz w:val="19"/>
        </w:rPr>
        <w:t>Scale creator-first and streaming-first answer pages around the highest-value GEO question families.</w:t>
      </w:r>
    </w:p>
    <w:p>
      <w:pPr>
        <w:pStyle w:val="ListBullet"/>
        <w:spacing w:after="80" w:line="250" w:lineRule="auto"/>
        <w:ind w:left="259" w:hanging="158"/>
      </w:pPr>
      <w:r>
        <w:rPr>
          <w:rFonts w:ascii="Lato" w:hAnsi="Lato"/>
          <w:b w:val="0"/>
          <w:color w:val="111216"/>
          <w:sz w:val="19"/>
        </w:rPr>
        <w:t>Build stronger “why / how / what” definitions for Subamerica’s unique platform proposition.</w:t>
      </w:r>
    </w:p>
    <w:p>
      <w:pPr>
        <w:pStyle w:val="ListBullet"/>
        <w:spacing w:after="80" w:line="250" w:lineRule="auto"/>
        <w:ind w:left="259" w:hanging="158"/>
      </w:pPr>
      <w:r>
        <w:rPr>
          <w:rFonts w:ascii="Lato" w:hAnsi="Lato"/>
          <w:b w:val="0"/>
          <w:color w:val="111216"/>
          <w:sz w:val="19"/>
        </w:rPr>
        <w:t>Continue entity reinforcement through authoritative organization profiles and consistent cross-platform references.</w:t>
      </w:r>
    </w:p>
    <w:p>
      <w:pPr>
        <w:pStyle w:val="ListBullet"/>
        <w:spacing w:after="80" w:line="250" w:lineRule="auto"/>
        <w:ind w:left="259" w:hanging="158"/>
      </w:pPr>
      <w:r>
        <w:rPr>
          <w:rFonts w:ascii="Lato" w:hAnsi="Lato"/>
          <w:b w:val="0"/>
          <w:color w:val="111216"/>
          <w:sz w:val="19"/>
        </w:rPr>
        <w:t>Use GEO query testing to turn AI-citation gaps into concrete content briefs and FAQ / schema updates.</w:t>
      </w:r>
    </w:p>
    <w:p>
      <w:pPr>
        <w:pStyle w:val="ListBullet"/>
        <w:spacing w:after="80" w:line="250" w:lineRule="auto"/>
        <w:ind w:left="259" w:hanging="158"/>
      </w:pPr>
      <w:r>
        <w:rPr>
          <w:rFonts w:ascii="Lato" w:hAnsi="Lato"/>
          <w:b w:val="0"/>
          <w:color w:val="111216"/>
          <w:sz w:val="19"/>
        </w:rPr>
        <w:t>Keep the strongest branded query positions stable while expanding category-level discovery beyond the brand name.</w:t>
      </w:r>
    </w:p>
    <w:tbl>
      <w:tblPr>
        <w:tblW w:type="auto" w:w="0"/>
        <w:jc w:val="center"/>
        <w:tblLook w:firstColumn="1" w:firstRow="1" w:lastColumn="0" w:lastRow="0" w:noHBand="0" w:noVBand="1" w:val="04A0"/>
      </w:tblPr>
      <w:tblGrid>
        <w:gridCol w:w="10166"/>
      </w:tblGrid>
      <w:tr>
        <w:tc>
          <w:tcPr>
            <w:tcW w:type="dxa" w:w="10166"/>
            <w:shd w:fill="FFF7F0"/>
            <w:tcMar>
              <w:top w:w="170" w:type="dxa"/>
              <w:start w:w="200" w:type="dxa"/>
              <w:bottom w:w="170" w:type="dxa"/>
              <w:end w:w="200" w:type="dxa"/>
            </w:tcMar>
            <w:tcBorders>
              <w:top w:val="single" w:sz="14" w:color="F37A21"/>
              <w:left w:val="single" w:sz="14" w:color="F37A21"/>
              <w:bottom w:val="single" w:sz="14" w:color="F37A21"/>
              <w:right w:val="single" w:sz="14" w:color="F37A21"/>
            </w:tcBorders>
          </w:tcPr>
          <w:p>
            <w:pPr>
              <w:spacing w:after="80"/>
            </w:pPr>
            <w:r/>
            <w:r>
              <w:rPr>
                <w:rFonts w:ascii="Lato" w:hAnsi="Lato"/>
                <w:b/>
                <w:color w:val="111216"/>
                <w:sz w:val="21"/>
              </w:rPr>
              <w:t>Publishing angle</w:t>
            </w:r>
          </w:p>
          <w:p>
            <w:pPr>
              <w:spacing w:after="0"/>
            </w:pPr>
            <w:r>
              <w:rPr>
                <w:rFonts w:ascii="Lato" w:hAnsi="Lato"/>
                <w:b w:val="0"/>
                <w:color w:val="666B73"/>
                <w:sz w:val="18"/>
              </w:rPr>
              <w:t>For a Muse website case-study page, lead with the 3,142 active-user / 3,997-session September snapshot, the #1 branded keyword positions, and the 100/100/100 AEO visibility signals - then explain the GEO nuance and diagnostic caveats below.</w:t>
            </w:r>
          </w:p>
        </w:tc>
        <w:trPr>
          <w:tblHeader/>
        </w:trPr>
      </w:tr>
    </w:tbl>
    <w:p>
      <w:pPr>
        <w:spacing w:after="40"/>
      </w:pPr>
    </w:p>
    <w:p>
      <w:r>
        <w:br w:type="page"/>
      </w:r>
    </w:p>
    <w:p>
      <w:pPr>
        <w:keepNext/>
        <w:spacing w:after="60"/>
      </w:pPr>
      <w:r>
        <w:rPr>
          <w:rFonts w:ascii="Lato" w:hAnsi="Lato"/>
          <w:b/>
          <w:color w:val="7558FF"/>
          <w:sz w:val="17"/>
        </w:rPr>
        <w:t>10 / METHODOLOGY</w:t>
      </w:r>
    </w:p>
    <w:p>
      <w:pPr>
        <w:keepNext/>
        <w:spacing w:before="0" w:after="100"/>
      </w:pPr>
      <w:r>
        <w:rPr>
          <w:rFonts w:ascii="Lato" w:hAnsi="Lato"/>
          <w:b/>
          <w:color w:val="111216"/>
          <w:sz w:val="48"/>
        </w:rPr>
        <w:t>How the results were interpreted</w:t>
      </w:r>
    </w:p>
    <w:p>
      <w:pPr>
        <w:spacing w:before="0" w:after="180" w:line="259" w:lineRule="auto"/>
        <w:jc w:val="left"/>
      </w:pPr>
      <w:r>
        <w:rPr>
          <w:rFonts w:ascii="Lato" w:hAnsi="Lato"/>
          <w:b w:val="0"/>
          <w:color w:val="666B73"/>
          <w:sz w:val="20"/>
        </w:rPr>
        <w:t>This case study is source-bound. It uses the six supplied reports plus limited current-site context used only to describe the client proposition.</w:t>
      </w:r>
    </w:p>
    <w:p>
      <w:pPr>
        <w:keepNext/>
        <w:spacing w:before="0" w:after="80"/>
      </w:pPr>
      <w:r>
        <w:rPr>
          <w:rFonts w:ascii="Lato" w:hAnsi="Lato"/>
          <w:b/>
          <w:color w:val="111216"/>
          <w:sz w:val="30"/>
        </w:rPr>
        <w:t>Source set</w:t>
      </w:r>
    </w:p>
    <w:p>
      <w:pPr>
        <w:pStyle w:val="ListBullet"/>
        <w:spacing w:after="80" w:line="250" w:lineRule="auto"/>
        <w:ind w:left="259" w:hanging="158"/>
      </w:pPr>
      <w:r>
        <w:rPr>
          <w:rFonts w:ascii="Lato" w:hAnsi="Lato"/>
          <w:b w:val="0"/>
          <w:color w:val="111216"/>
          <w:sz w:val="19"/>
        </w:rPr>
        <w:t>SEO: 8-Aug-2026 and 21-Sep-2026.</w:t>
      </w:r>
    </w:p>
    <w:p>
      <w:pPr>
        <w:pStyle w:val="ListBullet"/>
        <w:spacing w:after="80" w:line="250" w:lineRule="auto"/>
        <w:ind w:left="259" w:hanging="158"/>
      </w:pPr>
      <w:r>
        <w:rPr>
          <w:rFonts w:ascii="Lato" w:hAnsi="Lato"/>
          <w:b w:val="0"/>
          <w:color w:val="111216"/>
          <w:sz w:val="19"/>
        </w:rPr>
        <w:t>AEO: 8-Aug-2026 and 9-Sep-2026.</w:t>
      </w:r>
    </w:p>
    <w:p>
      <w:pPr>
        <w:pStyle w:val="ListBullet"/>
        <w:spacing w:after="80" w:line="250" w:lineRule="auto"/>
        <w:ind w:left="259" w:hanging="158"/>
      </w:pPr>
      <w:r>
        <w:rPr>
          <w:rFonts w:ascii="Lato" w:hAnsi="Lato"/>
          <w:b w:val="0"/>
          <w:color w:val="111216"/>
          <w:sz w:val="19"/>
        </w:rPr>
        <w:t>GEO: 8-Aug-2026 and 9-Sep-2026.</w:t>
      </w:r>
    </w:p>
    <w:p>
      <w:pPr>
        <w:pStyle w:val="ListBullet"/>
        <w:spacing w:after="80" w:line="250" w:lineRule="auto"/>
        <w:ind w:left="259" w:hanging="158"/>
      </w:pPr>
      <w:r>
        <w:rPr>
          <w:rFonts w:ascii="Lato" w:hAnsi="Lato"/>
          <w:b w:val="0"/>
          <w:color w:val="111216"/>
          <w:sz w:val="19"/>
        </w:rPr>
        <w:t>Total: six supplied reports.</w:t>
      </w:r>
    </w:p>
    <w:p>
      <w:pPr>
        <w:keepNext/>
        <w:spacing w:before="0" w:after="80"/>
      </w:pPr>
      <w:r>
        <w:rPr>
          <w:rFonts w:ascii="Lato" w:hAnsi="Lato"/>
          <w:b/>
          <w:color w:val="111216"/>
          <w:sz w:val="30"/>
        </w:rPr>
        <w:t>Interpretation rules</w:t>
      </w:r>
    </w:p>
    <w:p>
      <w:pPr>
        <w:pStyle w:val="ListBullet"/>
        <w:spacing w:after="80" w:line="250" w:lineRule="auto"/>
        <w:ind w:left="259" w:hanging="158"/>
      </w:pPr>
      <w:r>
        <w:rPr>
          <w:rFonts w:ascii="Lato" w:hAnsi="Lato"/>
          <w:b w:val="0"/>
          <w:color w:val="111216"/>
          <w:sz w:val="19"/>
        </w:rPr>
        <w:t>Analytics changes are described as snapshot-to-snapshot movement because the report screenshots define their own windows and attribution settings.</w:t>
      </w:r>
    </w:p>
    <w:p>
      <w:pPr>
        <w:pStyle w:val="ListBullet"/>
        <w:spacing w:after="80" w:line="250" w:lineRule="auto"/>
        <w:ind w:left="259" w:hanging="158"/>
      </w:pPr>
      <w:r>
        <w:rPr>
          <w:rFonts w:ascii="Lato" w:hAnsi="Lato"/>
          <w:b w:val="0"/>
          <w:color w:val="111216"/>
          <w:sz w:val="19"/>
        </w:rPr>
        <w:t>Keyword page-1 counts are taken directly from the listed NYC tables in each SEO report; because the tracked set changed, counts are not treated as a like-for-like cohort.</w:t>
      </w:r>
    </w:p>
    <w:p>
      <w:pPr>
        <w:pStyle w:val="ListBullet"/>
        <w:spacing w:after="80" w:line="250" w:lineRule="auto"/>
        <w:ind w:left="259" w:hanging="158"/>
      </w:pPr>
      <w:r>
        <w:rPr>
          <w:rFonts w:ascii="Lato" w:hAnsi="Lato"/>
          <w:b w:val="0"/>
          <w:color w:val="111216"/>
          <w:sz w:val="19"/>
        </w:rPr>
        <w:t>GEO overall score and share of voice are treated as test-set diagnostics. August and September used different query volumes, so a lower score in September is not described as a simple performance decline.</w:t>
      </w:r>
    </w:p>
    <w:p>
      <w:pPr>
        <w:pStyle w:val="ListBullet"/>
        <w:spacing w:after="80" w:line="250" w:lineRule="auto"/>
        <w:ind w:left="259" w:hanging="158"/>
      </w:pPr>
      <w:r>
        <w:rPr>
          <w:rFonts w:ascii="Lato" w:hAnsi="Lato"/>
          <w:b w:val="0"/>
          <w:color w:val="111216"/>
          <w:sz w:val="19"/>
        </w:rPr>
        <w:t>AEO diagnostic scores are kept in the source report’s terminology. They are not presented as industry-standard rankings.</w:t>
      </w:r>
    </w:p>
    <w:p>
      <w:pPr>
        <w:pStyle w:val="ListBullet"/>
        <w:spacing w:after="80" w:line="250" w:lineRule="auto"/>
        <w:ind w:left="259" w:hanging="158"/>
      </w:pPr>
      <w:r>
        <w:rPr>
          <w:rFonts w:ascii="Lato" w:hAnsi="Lato"/>
          <w:b w:val="0"/>
          <w:color w:val="111216"/>
          <w:sz w:val="19"/>
        </w:rPr>
        <w:t>No claim of leads, revenue or conversion lift is made because the supplied material does not prove those outcomes.</w:t>
      </w:r>
    </w:p>
    <w:p>
      <w:pPr>
        <w:keepNext/>
        <w:spacing w:before="0" w:after="80"/>
      </w:pPr>
      <w:r>
        <w:rPr>
          <w:rFonts w:ascii="Lato" w:hAnsi="Lato"/>
          <w:b/>
          <w:color w:val="111216"/>
          <w:sz w:val="30"/>
        </w:rPr>
        <w:t>Current website context</w:t>
      </w:r>
    </w:p>
    <w:p>
      <w:pPr>
        <w:spacing w:before="0" w:after="140" w:line="259" w:lineRule="auto"/>
        <w:jc w:val="left"/>
      </w:pPr>
      <w:r>
        <w:rPr>
          <w:rFonts w:ascii="Lato" w:hAnsi="Lato"/>
          <w:b w:val="0"/>
          <w:color w:val="666B73"/>
          <w:sz w:val="18"/>
        </w:rPr>
        <w:t>The current Subamerica site describes the network as an indie underground streaming destination, with 24/7 broadcast positioning and access through Roku, Google TV, Fire TV and Apple TV. That context helps explain why the tracked SEO/AEO/GEO query families center on streaming, creator access, independent media and monetization.</w:t>
      </w:r>
    </w:p>
    <w:tbl>
      <w:tblPr>
        <w:tblW w:type="auto" w:w="0"/>
        <w:jc w:val="center"/>
        <w:tblLayout w:type="fixed"/>
        <w:tblLook w:firstColumn="1" w:firstRow="1" w:lastColumn="0" w:lastRow="0" w:noHBand="0" w:noVBand="1" w:val="04A0"/>
      </w:tblPr>
      <w:tblGrid>
        <w:gridCol w:w="5083"/>
        <w:gridCol w:w="5083"/>
      </w:tblGrid>
      <w:tr>
        <w:trPr>
          <w:tblHeader w:val="true"/>
          <w:cantSplit/>
        </w:trPr>
        <w:tc>
          <w:tcPr>
            <w:tcW w:type="dxa" w:w="3528"/>
            <w:shd w:fill="17191D"/>
            <w:tcMar>
              <w:top w:w="90" w:type="dxa"/>
              <w:start w:w="90" w:type="dxa"/>
              <w:bottom w:w="90" w:type="dxa"/>
              <w:end w:w="90" w:type="dxa"/>
            </w:tcMar>
            <w:tcBorders>
              <w:top w:val="single" w:sz="4" w:color="17191D"/>
              <w:left w:val="single" w:sz="4" w:color="17191D"/>
              <w:bottom w:val="single" w:sz="4" w:color="17191D"/>
              <w:right w:val="single" w:sz="4" w:color="17191D"/>
            </w:tcBorders>
          </w:tcPr>
          <w:p>
            <w:pPr>
              <w:spacing w:after="0"/>
            </w:pPr>
            <w:r/>
            <w:r>
              <w:rPr>
                <w:rFonts w:ascii="Lato" w:hAnsi="Lato"/>
                <w:b/>
                <w:color w:val="FFFFFF"/>
                <w:sz w:val="17"/>
              </w:rPr>
              <w:t>Source</w:t>
            </w:r>
          </w:p>
        </w:tc>
        <w:tc>
          <w:tcPr>
            <w:tcW w:type="dxa" w:w="6336"/>
            <w:shd w:fill="17191D"/>
            <w:tcMar>
              <w:top w:w="90" w:type="dxa"/>
              <w:start w:w="90" w:type="dxa"/>
              <w:bottom w:w="90" w:type="dxa"/>
              <w:end w:w="90" w:type="dxa"/>
            </w:tcMar>
            <w:tcBorders>
              <w:top w:val="single" w:sz="4" w:color="17191D"/>
              <w:left w:val="single" w:sz="4" w:color="17191D"/>
              <w:bottom w:val="single" w:sz="4" w:color="17191D"/>
              <w:right w:val="single" w:sz="4" w:color="17191D"/>
            </w:tcBorders>
          </w:tcPr>
          <w:p>
            <w:pPr>
              <w:spacing w:after="0"/>
            </w:pPr>
            <w:r/>
            <w:r>
              <w:rPr>
                <w:rFonts w:ascii="Lato" w:hAnsi="Lato"/>
                <w:b/>
                <w:color w:val="FFFFFF"/>
                <w:sz w:val="17"/>
              </w:rPr>
              <w:t>Use in this case study</w:t>
            </w:r>
          </w:p>
        </w:tc>
      </w:tr>
      <w:tr>
        <w:trPr>
          <w:cantSplit/>
        </w:trPr>
        <w:tc>
          <w:tcPr>
            <w:tcW w:type="dxa" w:w="3528"/>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Subamerica website - subamerica.net</w:t>
            </w:r>
          </w:p>
        </w:tc>
        <w:tc>
          <w:tcPr>
            <w:tcW w:type="dxa" w:w="6336"/>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Client proposition / current site context</w:t>
            </w:r>
          </w:p>
        </w:tc>
      </w:tr>
      <w:tr>
        <w:trPr>
          <w:cantSplit/>
        </w:trPr>
        <w:tc>
          <w:tcPr>
            <w:tcW w:type="dxa" w:w="3528"/>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Muse Platforms - museplatforms.com</w:t>
            </w:r>
          </w:p>
        </w:tc>
        <w:tc>
          <w:tcPr>
            <w:tcW w:type="dxa" w:w="6336"/>
            <w:shd w:fill="FAFBFC"/>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Service-positioning context for SEO / AEO / generative AI search</w:t>
            </w:r>
          </w:p>
        </w:tc>
      </w:tr>
      <w:tr>
        <w:trPr>
          <w:cantSplit/>
        </w:trPr>
        <w:tc>
          <w:tcPr>
            <w:tcW w:type="dxa" w:w="3528"/>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Six client-provided reports</w:t>
            </w:r>
          </w:p>
        </w:tc>
        <w:tc>
          <w:tcPr>
            <w:tcW w:type="dxa" w:w="6336"/>
            <w:shd w:fill="FFFFFF"/>
            <w:tcMar>
              <w:top w:w="85" w:type="dxa"/>
              <w:start w:w="90" w:type="dxa"/>
              <w:bottom w:w="85" w:type="dxa"/>
              <w:end w:w="90" w:type="dxa"/>
            </w:tcMar>
            <w:tcBorders>
              <w:top w:val="single" w:sz="5" w:color="D8DCE2"/>
              <w:left w:val="single" w:sz="5" w:color="D8DCE2"/>
              <w:bottom w:val="single" w:sz="5" w:color="D8DCE2"/>
              <w:right w:val="single" w:sz="5" w:color="D8DCE2"/>
            </w:tcBorders>
          </w:tcPr>
          <w:p>
            <w:pPr>
              <w:spacing w:after="0"/>
            </w:pPr>
            <w:r/>
            <w:r>
              <w:rPr>
                <w:rFonts w:ascii="Lato" w:hAnsi="Lato"/>
                <w:b w:val="0"/>
                <w:color w:val="111216"/>
                <w:sz w:val="17"/>
              </w:rPr>
              <w:t>All performance metrics, keyword positions, diagnostic scores and evidence screenshots</w:t>
            </w:r>
          </w:p>
        </w:tc>
      </w:tr>
    </w:tbl>
    <w:p>
      <w:pPr>
        <w:spacing w:after="40"/>
      </w:pPr>
    </w:p>
    <w:p>
      <w:pPr>
        <w:spacing w:before="140" w:after="0" w:line="259" w:lineRule="auto"/>
        <w:jc w:val="center"/>
      </w:pPr>
      <w:r>
        <w:rPr>
          <w:rFonts w:ascii="Lato" w:hAnsi="Lato"/>
          <w:b w:val="0"/>
          <w:color w:val="666B73"/>
          <w:sz w:val="16"/>
        </w:rPr>
        <w:t>Prepared for website case-study publication by Muse Platforms. Data represented: August-September 2026 report snapshots.</w:t>
      </w:r>
    </w:p>
    <w:sectPr w:rsidR="00FC693F" w:rsidRPr="0006063C" w:rsidSect="00034616">
      <w:headerReference w:type="default" r:id="rId9"/>
      <w:footerReference w:type="default" r:id="rId10"/>
      <w:pgSz w:w="12240" w:h="15840"/>
      <w:pgMar w:top="835" w:right="1037" w:bottom="792" w:left="1037"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Lato" w:hAnsi="Lato"/>
        <w:b w:val="0"/>
        <w:color w:val="666B73"/>
        <w:sz w:val="14"/>
      </w:rPr>
      <w:t>Muse Platforms  |  Subamerica Network  |  SEO + AEO + GEO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ayout w:type="fixed"/>
      <w:tblLook w:firstColumn="1" w:firstRow="1" w:lastColumn="0" w:lastRow="0" w:noHBand="0" w:noVBand="1" w:val="04A0"/>
    </w:tblPr>
    <w:tblGrid>
      <w:gridCol w:w="4932"/>
      <w:gridCol w:w="4932"/>
    </w:tblGrid>
    <w:tr>
      <w:tc>
        <w:tcPr>
          <w:tcW w:type="dxa" w:w="6696"/>
          <w:tcBorders>
            <w:top w:val="single" w:sz="5" w:color="D8DCE2"/>
            <w:left w:val="single" w:sz="5" w:color="D8DCE2"/>
            <w:bottom w:val="single" w:sz="5" w:color="D8DCE2"/>
            <w:right w:val="single" w:sz="5" w:color="D8DCE2"/>
          </w:tcBorders>
        </w:tcPr>
        <w:p>
          <w:pPr>
            <w:spacing w:after="0"/>
          </w:pPr>
          <w:r/>
          <w:r>
            <w:rPr>
              <w:rFonts w:ascii="Lato" w:hAnsi="Lato"/>
              <w:b/>
              <w:color w:val="7558FF"/>
              <w:sz w:val="16"/>
            </w:rPr>
            <w:t>MUSE PLATFORMS</w:t>
          </w:r>
          <w:r>
            <w:rPr>
              <w:rFonts w:ascii="Lato" w:hAnsi="Lato"/>
              <w:b/>
              <w:color w:val="666B73"/>
              <w:sz w:val="16"/>
            </w:rPr>
            <w:t xml:space="preserve">  |  SUBAMERICA CASE STUDY</w:t>
          </w:r>
        </w:p>
      </w:tc>
      <w:tc>
        <w:tcPr>
          <w:tcW w:type="dxa" w:w="3168"/>
          <w:tcBorders>
            <w:top w:val="single" w:sz="5" w:color="D8DCE2"/>
            <w:left w:val="single" w:sz="5" w:color="D8DCE2"/>
            <w:bottom w:val="single" w:sz="5" w:color="D8DCE2"/>
            <w:right w:val="single" w:sz="5" w:color="D8DCE2"/>
          </w:tcBorders>
        </w:tcPr>
        <w:p>
          <w:pPr>
            <w:spacing w:after="0"/>
            <w:jc w:val="right"/>
          </w:pPr>
          <w:r/>
          <w:r>
            <w:drawing>
              <wp:inline xmlns:a="http://schemas.openxmlformats.org/drawingml/2006/main" xmlns:pic="http://schemas.openxmlformats.org/drawingml/2006/picture">
                <wp:extent cx="1143000" cy="456239"/>
                <wp:docPr id="1" name="Picture 1" descr="Image: item1.xml"/>
                <wp:cNvGraphicFramePr>
                  <a:graphicFrameLocks noChangeAspect="1"/>
                </wp:cNvGraphicFramePr>
                <a:graphic>
                  <a:graphicData uri="http://schemas.openxmlformats.org/drawingml/2006/picture">
                    <pic:pic>
                      <pic:nvPicPr>
                        <pic:cNvPr id="0" name="subamerica_logo.png"/>
                        <pic:cNvPicPr/>
                      </pic:nvPicPr>
                      <pic:blipFill>
                        <a:blip r:embed="rId1"/>
                        <a:stretch>
                          <a:fillRect/>
                        </a:stretch>
                      </pic:blipFill>
                      <pic:spPr>
                        <a:xfrm>
                          <a:off x="0" y="0"/>
                          <a:ext cx="1143000" cy="456239"/>
                        </a:xfrm>
                        <a:prstGeom prst="rect"/>
                      </pic:spPr>
                    </pic:pic>
                  </a:graphicData>
                </a:graphic>
              </wp:inline>
            </w:drawing>
          </w:r>
        </w:p>
      </w:tc>
      <w:trPr>
        <w:tblHeader/>
      </w:trPr>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to" w:hAnsi="Lato"/>
      <w:color w:val="11121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1.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Subamerica SEO + AEO + GEO Case Study</dc:title>
  <dc:subject>Muse Platforms case study</dc:subject>
  <dc:creator>Muse Platforms</dc:creator>
  <cp:keywords>Subamerica, SEO, AEO, GEO, AI visibility, NYC, creator platform</cp:keywords>
  <dc:description>generated by python-docx</dc:description>
  <cp:lastModifiedBy/>
  <cp:revision>1</cp:revision>
  <dcterms:created xsi:type="dcterms:W3CDTF">2013-12-23T23:15:00Z</dcterms:created>
  <dcterms:modified xsi:type="dcterms:W3CDTF">2013-12-23T23:15:00Z</dcterms:modified>
  <cp:category/>
</cp:coreProperties>
</file>