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17141F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1" w:color="17141F"/>
              <w:left w:val="single" w:sz="1" w:color="17141F"/>
              <w:bottom w:val="single" w:sz="1" w:color="17141F"/>
              <w:right w:val="single" w:sz="1" w:color="17141F"/>
            </w:tcBorders>
          </w:tcPr>
          <w:p>
            <w:r/>
            <w:r>
              <w:drawing>
                <wp:inline xmlns:a="http://schemas.openxmlformats.org/drawingml/2006/main" xmlns:pic="http://schemas.openxmlformats.org/drawingml/2006/picture">
                  <wp:extent cx="6263640" cy="1548511"/>
                  <wp:docPr id="1" name="Picture 1" descr="Image: 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jaleen_hero_dar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3640" cy="1548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rPr>
          <w:tblHeader/>
        </w:trPr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17141F"/>
            <w:tcMar>
              <w:top w:w="180" w:type="dxa"/>
              <w:start w:w="220" w:type="dxa"/>
              <w:bottom w:w="200" w:type="dxa"/>
              <w:end w:w="220" w:type="dxa"/>
            </w:tcMar>
          </w:tcPr>
          <w:p>
            <w:pPr>
              <w:spacing w:after="100"/>
            </w:pPr>
            <w:r/>
            <w:r>
              <w:rPr>
                <w:rFonts w:ascii="Lato" w:hAnsi="Lato"/>
                <w:b/>
                <w:color w:val="F2A15B"/>
                <w:sz w:val="18"/>
              </w:rPr>
              <w:t>MUSE PLATFORMS</w:t>
            </w:r>
          </w:p>
          <w:p>
            <w:pPr>
              <w:spacing w:after="80"/>
            </w:pPr>
            <w:r>
              <w:rPr>
                <w:rFonts w:ascii="Lato" w:hAnsi="Lato"/>
                <w:b/>
                <w:color w:val="FFFFFF"/>
                <w:sz w:val="62"/>
              </w:rPr>
              <w:t>Al-Ajaleen</w:t>
            </w:r>
          </w:p>
          <w:p>
            <w:pPr>
              <w:spacing w:after="260"/>
            </w:pPr>
            <w:r>
              <w:rPr>
                <w:rFonts w:ascii="Lato" w:hAnsi="Lato"/>
                <w:color w:val="DAD4E6"/>
                <w:sz w:val="34"/>
              </w:rPr>
              <w:t>SEO + AEO + GEO Case Study</w:t>
            </w:r>
          </w:p>
          <w:p>
            <w:pPr>
              <w:spacing w:after="160"/>
            </w:pPr>
            <w:r>
              <w:rPr>
                <w:rFonts w:ascii="Lato" w:hAnsi="Lato"/>
                <w:color w:val="E6E2EC"/>
                <w:sz w:val="20"/>
              </w:rPr>
              <w:t>Building search visibility, AI discoverability and brand presence for a legal &amp; intellectual property firm</w:t>
            </w:r>
          </w:p>
        </w:tc>
        <w:trPr>
          <w:tblHeader/>
        </w:trPr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7141F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1" w:color="17141F"/>
              <w:left w:val="single" w:sz="1" w:color="17141F"/>
              <w:bottom w:val="single" w:sz="1" w:color="17141F"/>
              <w:right w:val="single" w:sz="1" w:color="17141F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1828800" cy="396240"/>
                  <wp:docPr id="2" name="Picture 2" descr="Image: image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use_wordmar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396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83"/>
            <w:shd w:fill="17141F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1" w:color="17141F"/>
              <w:left w:val="single" w:sz="1" w:color="17141F"/>
              <w:bottom w:val="single" w:sz="1" w:color="17141F"/>
              <w:right w:val="single" w:sz="1" w:color="17141F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08760" cy="663854"/>
                  <wp:docPr id="3" name="Picture 3" descr="Image: 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jaleen_logo_transparen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8760" cy="6638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rPr>
          <w:tblHeader/>
        </w:trPr>
      </w:tr>
    </w:tbl>
    <w:p>
      <w:pPr>
        <w:spacing w:before="120" w:after="0" w:line="259" w:lineRule="auto"/>
        <w:jc w:val="center"/>
      </w:pPr>
      <w:r>
        <w:rPr>
          <w:rFonts w:ascii="Lato" w:hAnsi="Lato"/>
          <w:b w:val="0"/>
          <w:color w:val="6B6773"/>
          <w:sz w:val="17"/>
        </w:rPr>
        <w:t>Reporting evidence supplied: June–September 2026 | 9 SEO / AEO / GEO reports</w:t>
      </w: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01 / EXECUTIVE SNAPSHOT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From traditional search to AI discovery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A documented view of the work delivered across SEO, Answer Engine Optimization and Generative Engine Optimization for ajaleen.com.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  <w:tblHeader/>
        </w:trPr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Search clicks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7558FF"/>
                <w:sz w:val="48"/>
              </w:rPr>
              <w:t>115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July AEO report: +89% vs prior period</w:t>
            </w:r>
          </w:p>
        </w:tc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Search impressions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F2A15B"/>
                <w:sz w:val="48"/>
              </w:rPr>
              <w:t>9.76K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July AEO report: +30% vs prior period</w:t>
            </w:r>
          </w:p>
        </w:tc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Indexed pages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C69A4B"/>
                <w:sz w:val="48"/>
              </w:rPr>
              <w:t>148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July AEO report snapshot</w:t>
            </w:r>
          </w:p>
        </w:tc>
      </w:tr>
      <w:tr>
        <w:trPr>
          <w:cantSplit/>
        </w:trPr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Answer inclusion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7558FF"/>
                <w:sz w:val="48"/>
              </w:rPr>
              <w:t>96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September AEO audit</w:t>
            </w:r>
          </w:p>
        </w:tc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Generative visibility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F2A15B"/>
                <w:sz w:val="48"/>
              </w:rPr>
              <w:t>93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September AEO audit</w:t>
            </w:r>
          </w:p>
        </w:tc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AI recommendation consistency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C69A4B"/>
                <w:sz w:val="48"/>
              </w:rPr>
              <w:t>91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September AEO audit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6F0E4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4" w:color="E3DFE8"/>
              <w:left w:val="single" w:sz="18" w:color="C69A4B"/>
              <w:bottom w:val="single" w:sz="4" w:color="E3DFE8"/>
              <w:right w:val="single" w:sz="4" w:color="E3DFE8"/>
            </w:tcBorders>
          </w:tcPr>
          <w:p>
            <w:pPr>
              <w:spacing w:after="80"/>
            </w:pPr>
            <w:r>
              <w:rPr>
                <w:rFonts w:ascii="Lato" w:hAnsi="Lato"/>
                <w:b/>
                <w:color w:val="211E28"/>
                <w:sz w:val="22"/>
              </w:rPr>
              <w:t>Case-study thesis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20"/>
              </w:rPr>
              <w:t>The supplied reports show a layered visibility program: SEO built market-level keyword coverage; AEO improved answerability, structure and AI extraction; GEO tested whether Ajaleen was actually present, cited and recognized across multiple AI answer systems.</w:t>
            </w:r>
          </w:p>
        </w:tc>
        <w:trPr>
          <w:tblHeader/>
        </w:trPr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4735"/>
            <w:shd w:fill="F3F0F8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 w:line="252" w:lineRule="auto"/>
            </w:pPr>
            <w:r/>
            <w:r>
              <w:rPr>
                <w:rFonts w:ascii="Lato" w:hAnsi="Lato"/>
                <w:b/>
                <w:color w:val="211E28"/>
                <w:sz w:val="22"/>
              </w:rPr>
              <w:t>Traditional Search</w:t>
            </w:r>
          </w:p>
          <w:p>
            <w:pPr>
              <w:spacing w:after="80" w:line="252" w:lineRule="auto"/>
            </w:pPr>
            <w:r>
              <w:rPr>
                <w:rFonts w:ascii="Lato" w:hAnsi="Lato"/>
                <w:b/>
                <w:color w:val="7558FF"/>
                <w:sz w:val="36"/>
              </w:rPr>
              <w:t>17 / 30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Among the 30 market-specific top-10 keyword rows shown for Saudi Arabia, Oman and the UAE in the September SEO report, 17 rank on page 1.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The core branded/legal query “al ajaleen law firm &amp; intellectual property” is #1 in all three markets.</w:t>
            </w:r>
          </w:p>
        </w:tc>
        <w:tc>
          <w:tcPr>
            <w:tcW w:type="dxa" w:w="4735"/>
            <w:shd w:fill="FBF8F2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 w:line="252" w:lineRule="auto"/>
            </w:pPr>
            <w:r/>
            <w:r>
              <w:rPr>
                <w:rFonts w:ascii="Lato" w:hAnsi="Lato"/>
                <w:b/>
                <w:color w:val="211E28"/>
                <w:sz w:val="22"/>
              </w:rPr>
              <w:t>AI Search</w:t>
            </w:r>
          </w:p>
          <w:p>
            <w:pPr>
              <w:spacing w:after="80" w:line="252" w:lineRule="auto"/>
            </w:pPr>
            <w:r>
              <w:rPr>
                <w:rFonts w:ascii="Lato" w:hAnsi="Lato"/>
                <w:b/>
                <w:color w:val="7558FF"/>
                <w:sz w:val="36"/>
              </w:rPr>
              <w:t>39%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The September GEO report records Ajaleen with 39% share of voice across 100 model responses.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The latest AEO audit also reports 96 answer inclusion, 93 generative search visibility and 89 citation authority.</w:t>
            </w:r>
          </w:p>
        </w:tc>
        <w:trPr>
          <w:tblHeader/>
        </w:trPr>
      </w:tr>
    </w:tbl>
    <w:p>
      <w:pPr>
        <w:spacing w:after="60"/>
      </w:pPr>
    </w:p>
    <w:p>
      <w:pPr>
        <w:spacing w:before="0" w:after="0" w:line="259" w:lineRule="auto"/>
        <w:jc w:val="left"/>
      </w:pPr>
      <w:r/>
      <w:r>
        <w:rPr>
          <w:rFonts w:ascii="Lato" w:hAnsi="Lato"/>
          <w:color w:val="6B6773"/>
          <w:sz w:val="17"/>
        </w:rPr>
        <w:t>Client focus: intellectual property, trademark, patent and corporate/commercial legal services across Saudi Arabia and the GCC.</w:t>
      </w: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02 / CONTEXT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The visibility problem we set out to solve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Ajaleen needed to be discoverable not only for conventional legal queries, but for the increasingly conversational, question-led journeys happening inside AI-powered search.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4735"/>
            <w:shd w:fill="FBF8F2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 w:line="252" w:lineRule="auto"/>
            </w:pPr>
            <w:r/>
            <w:r>
              <w:rPr>
                <w:rFonts w:ascii="Lato" w:hAnsi="Lato"/>
                <w:b/>
                <w:color w:val="211E28"/>
                <w:sz w:val="22"/>
              </w:rPr>
              <w:t>Challenge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Legal and IP services are high-intent, jurisdiction-specific and question-heavy. The program therefore had to make service expertise easy to find, understand and reference across search and AI systems.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The June audit also surfaced technical and structural gaps around answerability, schema coverage, headings, meta completeness and entity signals.</w:t>
            </w:r>
          </w:p>
        </w:tc>
        <w:tc>
          <w:tcPr>
            <w:tcW w:type="dxa" w:w="4735"/>
            <w:shd w:fill="F3F0F8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 w:line="252" w:lineRule="auto"/>
            </w:pPr>
            <w:r/>
            <w:r>
              <w:rPr>
                <w:rFonts w:ascii="Lato" w:hAnsi="Lato"/>
                <w:b/>
                <w:color w:val="211E28"/>
                <w:sz w:val="22"/>
              </w:rPr>
              <w:t>Objectives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1) Grow qualified organic visibility across Saudi Arabia, Oman and the UAE.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2) Create answer-ready content for FAQs, service queries and long-tail legal questions.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3) Improve structured data, internal linking and entity clarity.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4) Build cross-platform brand mentions that support AI recognition and citation.</w:t>
            </w:r>
          </w:p>
        </w:tc>
        <w:trPr>
          <w:tblHeader/>
        </w:trPr>
      </w:tr>
    </w:tbl>
    <w:p>
      <w:pPr>
        <w:spacing w:after="60"/>
      </w:pPr>
    </w:p>
    <w:p>
      <w:pPr>
        <w:keepNext/>
        <w:spacing w:before="60" w:after="100"/>
      </w:pPr>
      <w:r>
        <w:rPr>
          <w:rFonts w:ascii="Lato" w:hAnsi="Lato"/>
          <w:b/>
          <w:color w:val="211E28"/>
          <w:sz w:val="30"/>
        </w:rPr>
        <w:t>What the service mix covered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  <w:tblHeader/>
        </w:trPr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SEO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7558FF"/>
                <w:sz w:val="48"/>
              </w:rPr>
              <w:t>Keyword + content + technical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Market-specific rankings, site structure and authority building</w:t>
            </w:r>
          </w:p>
        </w:tc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AEO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F2A15B"/>
                <w:sz w:val="48"/>
              </w:rPr>
              <w:t>Answer-first content + schema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FAQs, semantic structure, internal links and extraction readiness</w:t>
            </w:r>
          </w:p>
        </w:tc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GEO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C69A4B"/>
                <w:sz w:val="48"/>
              </w:rPr>
              <w:t>AI visibility + brand signals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Model monitoring, citations, share of voice and question coverage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F0F8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4" w:color="E3DFE8"/>
              <w:left w:val="single" w:sz="18" w:color="7558FF"/>
              <w:bottom w:val="single" w:sz="4" w:color="E3DFE8"/>
              <w:right w:val="single" w:sz="4" w:color="E3DFE8"/>
            </w:tcBorders>
          </w:tcPr>
          <w:p>
            <w:pPr>
              <w:spacing w:after="80"/>
            </w:pPr>
            <w:r>
              <w:rPr>
                <w:rFonts w:ascii="Lato" w:hAnsi="Lato"/>
                <w:b/>
                <w:color w:val="211E28"/>
                <w:sz w:val="22"/>
              </w:rPr>
              <w:t>Why this matters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20"/>
              </w:rPr>
              <w:t xml:space="preserve">Muse positions AEO and generative AI search optimization as an emerging practice for adapting discovery to AI-driven search. The Al-Ajaleen work reflects that same shift: the optimization target is not just a blue-link ranking, but whether an AI system can understand, cite and recommend the brand. </w:t>
            </w:r>
          </w:p>
        </w:tc>
        <w:trPr>
          <w:tblHeader/>
        </w:trPr>
      </w:tr>
    </w:tbl>
    <w:p>
      <w:pPr>
        <w:spacing w:after="60"/>
      </w:pPr>
    </w:p>
    <w:p>
      <w:pPr>
        <w:spacing w:before="0" w:after="0" w:line="259" w:lineRule="auto"/>
        <w:jc w:val="left"/>
      </w:pPr>
      <w:r>
        <w:rPr>
          <w:rFonts w:ascii="Lato" w:hAnsi="Lato"/>
          <w:b w:val="0"/>
          <w:color w:val="6B6773"/>
          <w:sz w:val="16"/>
        </w:rPr>
        <w:t>Source note: scope and workstreams are synthesized from the June and July AEO/GEO reports and the July, August and September SEO reports supplied for this case study.</w:t>
      </w: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03 / SEO PERFORMANCE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Search visibility became a broader market footprint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The SEO reports show established positions across Saudi Arabia, Oman and the UAE, with a notable acceleration in the UAE keyword cluster between the August and September snapshots.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989320" cy="2833544"/>
            <wp:docPr id="4" name="Picture 4" descr="Image: 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o_sessions_snapsho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833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Lato" w:hAnsi="Lato"/>
          <w:i/>
          <w:color w:val="6B6773"/>
          <w:sz w:val="16"/>
        </w:rPr>
        <w:t>Source: July, August and September 2026 SEO report engagement snapshots. Values are reported-session snapshots, not a single continuous analytics series.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  <w:tblHeader/>
        </w:trPr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Sep organic search sessions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7558FF"/>
                <w:sz w:val="48"/>
              </w:rPr>
              <w:t>223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56.5% engagement rate; 32s average engagement time</w:t>
            </w:r>
          </w:p>
        </w:tc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Sep total sessions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F2A15B"/>
                <w:sz w:val="48"/>
              </w:rPr>
              <w:t>1,564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19.82% overall engagement rate</w:t>
            </w:r>
          </w:p>
        </w:tc>
        <w:tc>
          <w:tcPr>
            <w:tcW w:type="dxa" w:w="3288"/>
            <w:shd w:fill="F8F6FB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Sep AI Assistant sessions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C69A4B"/>
                <w:sz w:val="48"/>
              </w:rPr>
              <w:t>7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71.43% engagement rate; 34s average engagement time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BF8F2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4" w:color="E3DFE8"/>
              <w:left w:val="single" w:sz="18" w:color="F2A15B"/>
              <w:bottom w:val="single" w:sz="4" w:color="E3DFE8"/>
              <w:right w:val="single" w:sz="4" w:color="E3DFE8"/>
            </w:tcBorders>
          </w:tcPr>
          <w:p>
            <w:pPr>
              <w:spacing w:after="80"/>
            </w:pPr>
            <w:r>
              <w:rPr>
                <w:rFonts w:ascii="Lato" w:hAnsi="Lato"/>
                <w:b/>
                <w:color w:val="211E28"/>
                <w:sz w:val="22"/>
              </w:rPr>
              <w:t>Interpretation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20"/>
              </w:rPr>
              <w:t>Organic Search is a smaller channel than Direct in the September GA snapshot, but it is materially more engaged: 56.5% engagement rate for Organic Search versus 13.12% for Direct. The September report also shows AI Assistant traffic at 71.43% engagement, although the volume is still small.</w:t>
            </w:r>
          </w:p>
        </w:tc>
        <w:trPr>
          <w:tblHeader/>
        </w:trPr>
      </w:tr>
    </w:tbl>
    <w:p>
      <w:pPr>
        <w:spacing w:after="60"/>
      </w:pP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04 / KEYWORD FOOTPRINT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Winning the right questions in the right markets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The tracked keyword set is localized by market and closely tied to Ajaleen’s legal/IP services.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989320" cy="3019120"/>
            <wp:docPr id="5" name="Picture 5" descr="Image: 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ae_keyword_movemen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019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Lato" w:hAnsi="Lato"/>
          <w:i/>
          <w:color w:val="6B6773"/>
          <w:sz w:val="16"/>
        </w:rPr>
        <w:t>Source: August 3 and September 7, 2026 SEO reports. Positive values show positions gained (lower rank number).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656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7"/>
              </w:rPr>
              <w:t>Market</w:t>
            </w:r>
          </w:p>
        </w:tc>
        <w:tc>
          <w:tcPr>
            <w:tcW w:type="dxa" w:w="1656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7"/>
              </w:rPr>
              <w:t>Page-1 positions</w:t>
            </w:r>
          </w:p>
        </w:tc>
        <w:tc>
          <w:tcPr>
            <w:tcW w:type="dxa" w:w="6552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7"/>
              </w:rPr>
              <w:t>Examples from September report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Saudi Arabia</w:t>
            </w:r>
          </w:p>
        </w:tc>
        <w:tc>
          <w:tcPr>
            <w:tcW w:type="dxa" w:w="1656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7 / 10</w:t>
            </w:r>
          </w:p>
        </w:tc>
        <w:tc>
          <w:tcPr>
            <w:tcW w:type="dxa" w:w="6552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Core branded query at #1; IP law firm #4; patents #6; trademark #7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Oman</w:t>
            </w:r>
          </w:p>
        </w:tc>
        <w:tc>
          <w:tcPr>
            <w:tcW w:type="dxa" w:w="1656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6 / 10</w:t>
            </w:r>
          </w:p>
        </w:tc>
        <w:tc>
          <w:tcPr>
            <w:tcW w:type="dxa" w:w="6552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Core branded query at #1; law firm &amp; IP #4; IP law firm #5; SAIP #6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UAE</w:t>
            </w:r>
          </w:p>
        </w:tc>
        <w:tc>
          <w:tcPr>
            <w:tcW w:type="dxa" w:w="1656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4 / 10</w:t>
            </w:r>
          </w:p>
        </w:tc>
        <w:tc>
          <w:tcPr>
            <w:tcW w:type="dxa" w:w="6552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Core branded query at #1; GCC TRADEMARK #2; law firm &amp; IP #5; SAIP #8</w:t>
            </w:r>
          </w:p>
        </w:tc>
      </w:tr>
      <w:tr>
        <w:trPr>
          <w:cantSplit/>
        </w:trPr>
        <w:tc>
          <w:tcPr>
            <w:tcW w:type="dxa" w:w="1656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All three</w:t>
            </w:r>
          </w:p>
        </w:tc>
        <w:tc>
          <w:tcPr>
            <w:tcW w:type="dxa" w:w="1656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17 / 30</w:t>
            </w:r>
          </w:p>
        </w:tc>
        <w:tc>
          <w:tcPr>
            <w:tcW w:type="dxa" w:w="6552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Page-1 positions among the three 10-keyword market lists shown in the September report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6F0E4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4" w:color="E3DFE8"/>
              <w:left w:val="single" w:sz="18" w:color="C69A4B"/>
              <w:bottom w:val="single" w:sz="4" w:color="E3DFE8"/>
              <w:right w:val="single" w:sz="4" w:color="E3DFE8"/>
            </w:tcBorders>
          </w:tcPr>
          <w:p>
            <w:pPr>
              <w:spacing w:after="80"/>
            </w:pPr>
            <w:r>
              <w:rPr>
                <w:rFonts w:ascii="Lato" w:hAnsi="Lato"/>
                <w:b/>
                <w:color w:val="211E28"/>
                <w:sz w:val="22"/>
              </w:rPr>
              <w:t>UAE movement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20"/>
              </w:rPr>
              <w:t>The largest reported gain in the August → September comparison is GCC TRADEMARK, moving from #14 to #2. Other tracked UAE queries improved by 5–10 positions.</w:t>
            </w:r>
          </w:p>
        </w:tc>
        <w:trPr>
          <w:tblHeader/>
        </w:trPr>
      </w:tr>
    </w:tbl>
    <w:p>
      <w:pPr>
        <w:spacing w:after="60"/>
      </w:pP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05 / AEO PERFORMANCE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Turning legal content into answer-ready assets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AEO work focused on making Ajaleen easier for search engines and AI systems to parse, summarize and cite.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303520" cy="2320290"/>
            <wp:docPr id="6" name="Picture 6" descr="Image: 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o_july_metrics_card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320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Lato" w:hAnsi="Lato"/>
          <w:i/>
          <w:color w:val="6B6773"/>
          <w:sz w:val="16"/>
        </w:rPr>
        <w:t>Source: July 7, 2026 AEO report.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349240" cy="2984313"/>
            <wp:docPr id="7" name="Picture 7" descr="Image: 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_visibility_metric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29843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Lato" w:hAnsi="Lato"/>
          <w:i/>
          <w:color w:val="6B6773"/>
          <w:sz w:val="16"/>
        </w:rPr>
        <w:t>Source: September 7, 2026 AEO Domain Audit. Scores/rates are the report’s own diagnostic measures.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BF8F2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4" w:color="E3DFE8"/>
              <w:left w:val="single" w:sz="18" w:color="F2A15B"/>
              <w:bottom w:val="single" w:sz="4" w:color="E3DFE8"/>
              <w:right w:val="single" w:sz="4" w:color="E3DFE8"/>
            </w:tcBorders>
          </w:tcPr>
          <w:p>
            <w:pPr>
              <w:spacing w:after="80"/>
            </w:pPr>
            <w:r>
              <w:rPr>
                <w:rFonts w:ascii="Lato" w:hAnsi="Lato"/>
                <w:b/>
                <w:color w:val="211E28"/>
                <w:sz w:val="22"/>
              </w:rPr>
              <w:t>AEO work executed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20"/>
              </w:rPr>
              <w:t>FAQ optimization, AI-ready legal articles, question-led headings, topical clusters, internal linking and structured data across key pages. The July report also documents brand-entity development across Reddit, Quora, Medium, Pinterest, Blogger and Tumblr.</w:t>
            </w:r>
          </w:p>
        </w:tc>
        <w:trPr>
          <w:tblHeader/>
        </w:trPr>
      </w:tr>
    </w:tbl>
    <w:p>
      <w:pPr>
        <w:spacing w:after="60"/>
      </w:pP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06 / GEO PERFORMANCE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Moving from “ranking” to “being mentioned”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GEO testing in September evaluated Ajaleen’s visibility across Perplexity, Gemini, ChatGPT and Claude using 25 tracked questions.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4735"/>
            <w:shd w:fill="F3F0F8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 w:line="252" w:lineRule="auto"/>
            </w:pPr>
            <w:r/>
            <w:r>
              <w:rPr>
                <w:rFonts w:ascii="Lato" w:hAnsi="Lato"/>
                <w:b/>
                <w:color w:val="211E28"/>
                <w:sz w:val="22"/>
              </w:rPr>
              <w:t>September GEO snapshot</w:t>
            </w:r>
          </w:p>
          <w:p>
            <w:pPr>
              <w:spacing w:after="80" w:line="252" w:lineRule="auto"/>
            </w:pPr>
            <w:r>
              <w:rPr>
                <w:rFonts w:ascii="Lato" w:hAnsi="Lato"/>
                <w:b/>
                <w:color w:val="7558FF"/>
                <w:sz w:val="36"/>
              </w:rPr>
              <w:t>34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Overall visibility score reported on the Brand Visibility Report.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Model hit rates: Claude 16%; Gemini 24%; ChatGPT 24%; Perplexity 92%.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39% share of voice across 100 model responses.</w:t>
            </w:r>
          </w:p>
        </w:tc>
        <w:tc>
          <w:tcPr>
            <w:tcW w:type="dxa" w:w="4735"/>
            <w:shd w:fill="FBF8F2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 w:line="252" w:lineRule="auto"/>
            </w:pPr>
            <w:r/>
            <w:r>
              <w:rPr>
                <w:rFonts w:ascii="Lato" w:hAnsi="Lato"/>
                <w:b/>
                <w:color w:val="211E28"/>
                <w:sz w:val="22"/>
              </w:rPr>
              <w:t>What the report surfaced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High-value question themes included GCC trademark protection, commercial-court trademark enforcement, pharmaceutical patent advantages and UAE exhibition trademark protection.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Top cited query scores reached 78 for a trademark-enforcement question; several other queries scored 60+.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A content gap was identified for a temporary-trademark-protection question in the UAE.</w:t>
            </w:r>
          </w:p>
        </w:tc>
        <w:trPr>
          <w:tblHeader/>
        </w:trPr>
      </w:tr>
    </w:tbl>
    <w:p>
      <w:pPr>
        <w:spacing w:after="60"/>
      </w:pP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06240" cy="3043360"/>
            <wp:docPr id="8" name="Picture 8" descr="Image: 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share_of_voic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3043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Lato" w:hAnsi="Lato"/>
          <w:i/>
          <w:color w:val="6B6773"/>
          <w:sz w:val="16"/>
        </w:rPr>
        <w:t>Source: September 7, 2026 GEO Brand Visibility Report.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6F0E4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4" w:color="E3DFE8"/>
              <w:left w:val="single" w:sz="18" w:color="C69A4B"/>
              <w:bottom w:val="single" w:sz="4" w:color="E3DFE8"/>
              <w:right w:val="single" w:sz="4" w:color="E3DFE8"/>
            </w:tcBorders>
          </w:tcPr>
          <w:p>
            <w:pPr>
              <w:spacing w:after="80"/>
            </w:pPr>
            <w:r>
              <w:rPr>
                <w:rFonts w:ascii="Lato" w:hAnsi="Lato"/>
                <w:b/>
                <w:color w:val="211E28"/>
                <w:sz w:val="22"/>
              </w:rPr>
              <w:t>Why GEO is strategically different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20"/>
              </w:rPr>
              <w:t>GEO measures the probability that the brand is surfaced and cited inside an answer, not merely listed among conventional search results. For a legal firm, that means authority signals, question coverage and citation-ready source pages become part of discoverability.</w:t>
            </w:r>
          </w:p>
        </w:tc>
        <w:trPr>
          <w:tblHeader/>
        </w:trPr>
      </w:tr>
    </w:tbl>
    <w:p>
      <w:pPr>
        <w:spacing w:after="60"/>
      </w:pP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07 / TECHNICAL READINESS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The work strengthened the machine-readable foundation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The audit history shows a moving technical baseline, with remediation priorities shifting from basic answerability and crawl quality toward entity clarity, schema depth and semantic authority.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800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6"/>
              </w:rPr>
              <w:t>Audit snapshot</w:t>
            </w:r>
          </w:p>
        </w:tc>
        <w:tc>
          <w:tcPr>
            <w:tcW w:type="dxa" w:w="3672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6"/>
              </w:rPr>
              <w:t>Reported finding</w:t>
            </w:r>
          </w:p>
        </w:tc>
        <w:tc>
          <w:tcPr>
            <w:tcW w:type="dxa" w:w="4392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6"/>
              </w:rPr>
              <w:t>What it meant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6"/>
              </w:rPr>
              <w:t>June 9, 2026</w:t>
            </w:r>
          </w:p>
        </w:tc>
        <w:tc>
          <w:tcPr>
            <w:tcW w:type="dxa" w:w="3672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6"/>
              </w:rPr>
              <w:t>42 answerability; 58 visibility; 87 trust readiness; 100 crawl health; 100 topical cohesion; 7 critical issues</w:t>
            </w:r>
          </w:p>
        </w:tc>
        <w:tc>
          <w:tcPr>
            <w:tcW w:type="dxa" w:w="4392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6"/>
              </w:rPr>
              <w:t>Early gaps centered on structured data, answer-style content and visibility/trust signals.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6"/>
              </w:rPr>
              <w:t>July 7, 2026</w:t>
            </w:r>
          </w:p>
        </w:tc>
        <w:tc>
          <w:tcPr>
            <w:tcW w:type="dxa" w:w="3672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6"/>
              </w:rPr>
              <w:t>44 answerability; 57 visibility; 45 trust readiness; 98 crawl health; 100 topical cohesion; 1 critical issue</w:t>
            </w:r>
          </w:p>
        </w:tc>
        <w:tc>
          <w:tcPr>
            <w:tcW w:type="dxa" w:w="4392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6"/>
              </w:rPr>
              <w:t>Critical issue count was substantially lower in the July audit snapshot, while topical cohesion remained high.</w:t>
            </w:r>
          </w:p>
        </w:tc>
      </w:tr>
      <w:tr>
        <w:trPr>
          <w:cantSplit/>
        </w:trPr>
        <w:tc>
          <w:tcPr>
            <w:tcW w:type="dxa" w:w="1800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6"/>
              </w:rPr>
              <w:t>Sep 7, 2026</w:t>
            </w:r>
          </w:p>
        </w:tc>
        <w:tc>
          <w:tcPr>
            <w:tcW w:type="dxa" w:w="3672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6"/>
              </w:rPr>
              <w:t>48 AI Visibility / Maturity Level 3; 64 extractability; 20 entity salience; 89 citation authority</w:t>
            </w:r>
          </w:p>
        </w:tc>
        <w:tc>
          <w:tcPr>
            <w:tcW w:type="dxa" w:w="4392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6"/>
              </w:rPr>
              <w:t>The latest audit shows strong citation-related signals alongside clear opportunities to improve entity and semantic authority.</w:t>
            </w:r>
          </w:p>
        </w:tc>
      </w:tr>
    </w:tbl>
    <w:p>
      <w:pPr>
        <w:spacing w:after="40"/>
      </w:pPr>
    </w:p>
    <w:p>
      <w:pPr>
        <w:keepNext/>
        <w:spacing w:before="60" w:after="100"/>
      </w:pPr>
      <w:r>
        <w:rPr>
          <w:rFonts w:ascii="Lato" w:hAnsi="Lato"/>
          <w:b/>
          <w:color w:val="211E28"/>
          <w:sz w:val="30"/>
        </w:rPr>
        <w:t>Latest September diagnostic signals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  <w:tblHeader/>
        </w:trPr>
        <w:tc>
          <w:tcPr>
            <w:tcW w:type="dxa" w:w="3288"/>
            <w:shd w:fill="FAF9FC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Citation authority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C69A4B"/>
                <w:sz w:val="48"/>
              </w:rPr>
              <w:t>89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Excellent in the audit’s own health verdict</w:t>
            </w:r>
          </w:p>
        </w:tc>
        <w:tc>
          <w:tcPr>
            <w:tcW w:type="dxa" w:w="3288"/>
            <w:shd w:fill="FAF9FC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Generative visibility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7558FF"/>
                <w:sz w:val="48"/>
              </w:rPr>
              <w:t>93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Strong surface rate in Perplexity + Gemini grounded answers</w:t>
            </w:r>
          </w:p>
        </w:tc>
        <w:tc>
          <w:tcPr>
            <w:tcW w:type="dxa" w:w="3288"/>
            <w:shd w:fill="FAF9FC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Entity share of voice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F2A15B"/>
                <w:sz w:val="48"/>
              </w:rPr>
              <w:t>100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Brand vs competitor mentions in the audit</w:t>
            </w:r>
          </w:p>
        </w:tc>
      </w:tr>
      <w:tr>
        <w:trPr>
          <w:cantSplit/>
        </w:trPr>
        <w:tc>
          <w:tcPr>
            <w:tcW w:type="dxa" w:w="3288"/>
            <w:shd w:fill="FAF9FC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Entity salience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6B6773"/>
                <w:sz w:val="48"/>
              </w:rPr>
              <w:t>20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Primary gap flagged by the audit</w:t>
            </w:r>
          </w:p>
        </w:tc>
        <w:tc>
          <w:tcPr>
            <w:tcW w:type="dxa" w:w="3288"/>
            <w:shd w:fill="FAF9FC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Semantic authority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6B6773"/>
                <w:sz w:val="48"/>
              </w:rPr>
              <w:t>14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Next-stage schema / sameAs / knowledge graph opportunity</w:t>
            </w:r>
          </w:p>
        </w:tc>
        <w:tc>
          <w:tcPr>
            <w:tcW w:type="dxa" w:w="3288"/>
            <w:shd w:fill="FAF9FC"/>
            <w:tcMar>
              <w:top w:w="160" w:type="dxa"/>
              <w:start w:w="160" w:type="dxa"/>
              <w:bottom w:w="160" w:type="dxa"/>
              <w:end w:w="1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/>
            </w:pPr>
            <w:r/>
            <w:r>
              <w:rPr>
                <w:rFonts w:ascii="Lato" w:hAnsi="Lato"/>
                <w:b/>
                <w:color w:val="6B6773"/>
                <w:sz w:val="18"/>
              </w:rPr>
              <w:t>JSON-LD coverage</w:t>
            </w:r>
          </w:p>
          <w:p>
            <w:pPr>
              <w:spacing w:after="40"/>
            </w:pPr>
            <w:r>
              <w:rPr>
                <w:rFonts w:ascii="Lato" w:hAnsi="Lato"/>
                <w:b/>
                <w:color w:val="6B6773"/>
                <w:sz w:val="48"/>
              </w:rPr>
              <w:t>10%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17"/>
              </w:rPr>
              <w:t>Only 10% of crawled pages had JSON-LD coverage in the latest audit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BF8F2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4" w:color="E3DFE8"/>
              <w:left w:val="single" w:sz="18" w:color="F2A15B"/>
              <w:bottom w:val="single" w:sz="4" w:color="E3DFE8"/>
              <w:right w:val="single" w:sz="4" w:color="E3DFE8"/>
            </w:tcBorders>
          </w:tcPr>
          <w:p>
            <w:pPr>
              <w:spacing w:after="80"/>
            </w:pPr>
            <w:r>
              <w:rPr>
                <w:rFonts w:ascii="Lato" w:hAnsi="Lato"/>
                <w:b/>
                <w:color w:val="211E28"/>
                <w:sz w:val="22"/>
              </w:rPr>
              <w:t>Read this as an optimization roadmap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20"/>
              </w:rPr>
              <w:t>The latest audit should not be presented as a “finished” state. It is stronger to show that citation and recommendation signals are already measurable while entity and semantic foundations are still being expanded.</w:t>
            </w:r>
          </w:p>
        </w:tc>
        <w:trPr>
          <w:tblHeader/>
        </w:trPr>
      </w:tr>
    </w:tbl>
    <w:p>
      <w:pPr>
        <w:spacing w:after="60"/>
      </w:pP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08 / DELIVERY SYSTEM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A three-layer visibility program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The reports show the work progressing from content and technical foundations into recurring AI visibility testing and entity reinforcement.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584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7"/>
              </w:rPr>
              <w:t>Layer</w:t>
            </w:r>
          </w:p>
        </w:tc>
        <w:tc>
          <w:tcPr>
            <w:tcW w:type="dxa" w:w="3960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7"/>
              </w:rPr>
              <w:t>Execution</w:t>
            </w:r>
          </w:p>
        </w:tc>
        <w:tc>
          <w:tcPr>
            <w:tcW w:type="dxa" w:w="4320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7"/>
              </w:rPr>
              <w:t>Evidence in supplied reports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SEO</w:t>
            </w:r>
          </w:p>
        </w:tc>
        <w:tc>
          <w:tcPr>
            <w:tcW w:type="dxa" w:w="3960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Market keyword targeting; content optimization; off-page distribution; internal linking; localized service relevance</w:t>
            </w:r>
          </w:p>
        </w:tc>
        <w:tc>
          <w:tcPr>
            <w:tcW w:type="dxa" w:w="4320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September report: 20 tracked Saudi, 20 Oman, 20 UAE keyword rows; 30 localized top-10 rows summarized in the case study.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AEO</w:t>
            </w:r>
          </w:p>
        </w:tc>
        <w:tc>
          <w:tcPr>
            <w:tcW w:type="dxa" w:w="3960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FAQ optimization; direct-answer formatting; schema; question-led headings; topical clusters; UX readability</w:t>
            </w:r>
          </w:p>
        </w:tc>
        <w:tc>
          <w:tcPr>
            <w:tcW w:type="dxa" w:w="4320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July report documents FAQ and blog optimization plus 8 schema types and entity development across six external platforms.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GEO</w:t>
            </w:r>
          </w:p>
        </w:tc>
        <w:tc>
          <w:tcPr>
            <w:tcW w:type="dxa" w:w="3960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25-question AI model test; model heat map; citation tracking; share of voice; competitor benchmark; content gaps</w:t>
            </w:r>
          </w:p>
        </w:tc>
        <w:tc>
          <w:tcPr>
            <w:tcW w:type="dxa" w:w="4320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September GEO report tests 25 queries across Perplexity, Gemini, ChatGPT and Claude and reports 39% share of voice.</w:t>
            </w:r>
          </w:p>
        </w:tc>
      </w:tr>
      <w:tr>
        <w:trPr>
          <w:cantSplit/>
        </w:trPr>
        <w:tc>
          <w:tcPr>
            <w:tcW w:type="dxa" w:w="1584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Entity / trust</w:t>
            </w:r>
          </w:p>
        </w:tc>
        <w:tc>
          <w:tcPr>
            <w:tcW w:type="dxa" w:w="3960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Cross-platform brand mentions; organization attributes; sameAs / knowledge graph expansion; citation-ready sources</w:t>
            </w:r>
          </w:p>
        </w:tc>
        <w:tc>
          <w:tcPr>
            <w:tcW w:type="dxa" w:w="4320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7"/>
              </w:rPr>
              <w:t>September AEO audit reports strong citation authority but lower entity salience and semantic authority, which directly informs the next work cycle.</w:t>
            </w:r>
          </w:p>
        </w:tc>
      </w:tr>
    </w:tbl>
    <w:p>
      <w:pPr>
        <w:spacing w:after="40"/>
      </w:pPr>
    </w:p>
    <w:p>
      <w:pPr>
        <w:keepNext/>
        <w:spacing w:before="60" w:after="100"/>
      </w:pPr>
      <w:r>
        <w:rPr>
          <w:rFonts w:ascii="Lato" w:hAnsi="Lato"/>
          <w:b/>
          <w:color w:val="211E28"/>
          <w:sz w:val="30"/>
        </w:rPr>
        <w:t>Content themes that matched commercial intent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20"/>
        </w:rPr>
        <w:t>Trademark registration and protection across Saudi Arabia, UAE and the GCC.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20"/>
        </w:rPr>
        <w:t>Patent registration, IP protection and legal guidance in Saudi Arabia and the UAE.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20"/>
        </w:rPr>
        <w:t>Corporate and commercial legal services, company formation and business setup.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20"/>
        </w:rPr>
        <w:t>Conversational “how do I…” questions designed to be answered directly inside AI interfaces.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F0F8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4" w:color="E3DFE8"/>
              <w:left w:val="single" w:sz="18" w:color="7558FF"/>
              <w:bottom w:val="single" w:sz="4" w:color="E3DFE8"/>
              <w:right w:val="single" w:sz="4" w:color="E3DFE8"/>
            </w:tcBorders>
          </w:tcPr>
          <w:p>
            <w:pPr>
              <w:spacing w:after="80"/>
            </w:pPr>
            <w:r>
              <w:rPr>
                <w:rFonts w:ascii="Lato" w:hAnsi="Lato"/>
                <w:b/>
                <w:color w:val="211E28"/>
                <w:sz w:val="22"/>
              </w:rPr>
              <w:t>A key pattern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20"/>
              </w:rPr>
              <w:t>The SEO keyword themes, AEO question structures and GEO question bank were aligned around the same service ontology: trademarks, patents, intellectual property and business law. That consistency is the bridge between search visibility and AI entity recognition.</w:t>
            </w:r>
          </w:p>
        </w:tc>
        <w:trPr>
          <w:tblHeader/>
        </w:trPr>
      </w:tr>
    </w:tbl>
    <w:p>
      <w:pPr>
        <w:spacing w:after="60"/>
      </w:pP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09 / EVIDENCE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Source-report evidence gallery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Selected snapshots from the supplied reports. These are included to make the case study auditable and web-publishing ready.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4781"/>
            <w:shd w:fill="FAFAFC"/>
            <w:tcMar>
              <w:top w:w="60" w:type="dxa"/>
              <w:start w:w="60" w:type="dxa"/>
              <w:bottom w:w="70" w:type="dxa"/>
              <w:end w:w="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43200" cy="3611650"/>
                  <wp:docPr id="9" name="Picture 9" descr="Image: image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vidence_aeo_sep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11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Lato" w:hAnsi="Lato"/>
                <w:color w:val="6B6773"/>
                <w:sz w:val="14"/>
              </w:rPr>
              <w:t>AEO audit — Sept 7, 2026</w:t>
            </w:r>
          </w:p>
        </w:tc>
        <w:tc>
          <w:tcPr>
            <w:tcW w:type="dxa" w:w="4781"/>
            <w:shd w:fill="FAFAFC"/>
            <w:tcMar>
              <w:top w:w="60" w:type="dxa"/>
              <w:start w:w="60" w:type="dxa"/>
              <w:bottom w:w="70" w:type="dxa"/>
              <w:end w:w="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43200" cy="3611650"/>
                  <wp:docPr id="10" name="Picture 10" descr="Image: image1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vidence_geo_sep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11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Lato" w:hAnsi="Lato"/>
                <w:color w:val="6B6773"/>
                <w:sz w:val="14"/>
              </w:rPr>
              <w:t>GEO brand visibility — Sept 7, 2026</w:t>
            </w:r>
          </w:p>
        </w:tc>
        <w:trPr>
          <w:tblHeader/>
        </w:trPr>
      </w:tr>
      <w:tr>
        <w:tc>
          <w:tcPr>
            <w:tcW w:type="dxa" w:w="4781"/>
            <w:shd w:fill="FAFAFC"/>
            <w:tcMar>
              <w:top w:w="60" w:type="dxa"/>
              <w:start w:w="60" w:type="dxa"/>
              <w:bottom w:w="70" w:type="dxa"/>
              <w:end w:w="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43200" cy="1967696"/>
                  <wp:docPr id="11" name="Picture 11" descr="Image: image1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vidence_seo_sep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9676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Lato" w:hAnsi="Lato"/>
                <w:color w:val="6B6773"/>
                <w:sz w:val="14"/>
              </w:rPr>
              <w:t>SEO engagement — Sept 7, 2026</w:t>
            </w:r>
          </w:p>
        </w:tc>
        <w:tc>
          <w:tcPr>
            <w:tcW w:type="dxa" w:w="4781"/>
            <w:shd w:fill="FAFAFC"/>
            <w:tcMar>
              <w:top w:w="60" w:type="dxa"/>
              <w:start w:w="60" w:type="dxa"/>
              <w:bottom w:w="70" w:type="dxa"/>
              <w:end w:w="6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43200" cy="1859280"/>
                  <wp:docPr id="12" name="Picture 12" descr="Image: image1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vidence_seo_aug_users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592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Lato" w:hAnsi="Lato"/>
                <w:color w:val="6B6773"/>
                <w:sz w:val="14"/>
              </w:rPr>
              <w:t>SEO audience snapshot — Aug 3, 2026</w:t>
            </w:r>
          </w:p>
        </w:tc>
      </w:tr>
    </w:tbl>
    <w:p>
      <w:pPr>
        <w:spacing w:before="0" w:after="0" w:line="259" w:lineRule="auto"/>
        <w:jc w:val="center"/>
      </w:pPr>
      <w:r>
        <w:rPr>
          <w:rFonts w:ascii="Lato" w:hAnsi="Lato"/>
          <w:b w:val="0"/>
          <w:color w:val="6B6773"/>
          <w:sz w:val="16"/>
        </w:rPr>
        <w:t>Evidence source: client-provided monthly reports for Ajaleen. Screenshots are reproduced only as supporting evidence; headline metrics are summarized separately for readability.</w:t>
      </w: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10 / BUSINESS IMPLICATIONS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What this work demonstrates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The case is strongest when the results are framed as a connected visibility system rather than a single SEO metric.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4735"/>
            <w:shd w:fill="FBF8F2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 w:line="252" w:lineRule="auto"/>
            </w:pPr>
            <w:r/>
            <w:r>
              <w:rPr>
                <w:rFonts w:ascii="Lato" w:hAnsi="Lato"/>
                <w:b/>
                <w:color w:val="211E28"/>
                <w:sz w:val="22"/>
              </w:rPr>
              <w:t>Demonstrated outcomes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Traditional search: the tracked market keyword set includes page-1 coverage in all three target markets.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UAE: the tracked cluster shows meaningful position gains between the August and September snapshots.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AEO: the July report shows 115 organic clicks (+89%) and 9.76K impressions (+30%), while the September audit shows high answer inclusion, generative visibility and citation authority.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GEO: the September report records 39% share of voice across 100 AI responses and strong coverage in Perplexity.</w:t>
            </w:r>
          </w:p>
        </w:tc>
        <w:tc>
          <w:tcPr>
            <w:tcW w:type="dxa" w:w="4735"/>
            <w:shd w:fill="F3F0F8"/>
            <w:tcMar>
              <w:top w:w="150" w:type="dxa"/>
              <w:start w:w="180" w:type="dxa"/>
              <w:bottom w:w="150" w:type="dxa"/>
              <w:end w:w="180" w:type="dxa"/>
            </w:tcMar>
            <w:tcBorders>
              <w:top w:val="single" w:sz="5" w:color="E3DFE8"/>
              <w:left w:val="single" w:sz="5" w:color="E3DFE8"/>
              <w:bottom w:val="single" w:sz="5" w:color="E3DFE8"/>
              <w:right w:val="single" w:sz="5" w:color="E3DFE8"/>
            </w:tcBorders>
          </w:tcPr>
          <w:p>
            <w:pPr>
              <w:spacing w:after="80" w:line="252" w:lineRule="auto"/>
            </w:pPr>
            <w:r/>
            <w:r>
              <w:rPr>
                <w:rFonts w:ascii="Lato" w:hAnsi="Lato"/>
                <w:b/>
                <w:color w:val="211E28"/>
                <w:sz w:val="22"/>
              </w:rPr>
              <w:t>Ongoing opportunity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Increase entity salience and semantic authority through stronger Organization / sameAs signals and broader authoritative profiles.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Expand direct-answer and comparison content around identified GEO content gaps.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Continue strengthening schema coverage and page-level answer structures.</w:t>
            </w:r>
          </w:p>
          <w:p>
            <w:pPr>
              <w:spacing w:after="60" w:line="252" w:lineRule="auto"/>
            </w:pPr>
            <w:r>
              <w:rPr>
                <w:rFonts w:ascii="Lato" w:hAnsi="Lato"/>
                <w:color w:val="6B6773"/>
                <w:sz w:val="19"/>
              </w:rPr>
              <w:t>Build more citation-ready legal reference assets that can serve both search and AI answer journeys.</w:t>
            </w:r>
          </w:p>
        </w:tc>
        <w:trPr>
          <w:tblHeader/>
        </w:trPr>
      </w:tr>
    </w:tbl>
    <w:p>
      <w:pPr>
        <w:spacing w:after="60"/>
      </w:pPr>
    </w:p>
    <w:p>
      <w:pPr>
        <w:keepNext/>
        <w:spacing w:before="60" w:after="100"/>
      </w:pPr>
      <w:r>
        <w:rPr>
          <w:rFonts w:ascii="Lato" w:hAnsi="Lato"/>
          <w:b/>
          <w:color w:val="211E28"/>
          <w:sz w:val="30"/>
        </w:rPr>
        <w:t>Recommended next-stage focus from the supplied reports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20"/>
        </w:rPr>
        <w:t>Expand service pages and FAQ coverage for trademark, patent, corporate and commercial legal queries across UAE + Saudi + GCC.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20"/>
        </w:rPr>
        <w:t>Create / refine definition-first and long-tail answer blocks, especially for queries surfaced in the GEO gap analysis.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20"/>
        </w:rPr>
        <w:t>Strengthen organization/entity attributes, sameAs relationships and knowledge-graph references.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20"/>
        </w:rPr>
        <w:t>Keep tracking AI citation frequency, share of voice, answer inclusion and recommendation consistency by model.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6F0E4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4" w:color="E3DFE8"/>
              <w:left w:val="single" w:sz="18" w:color="C69A4B"/>
              <w:bottom w:val="single" w:sz="4" w:color="E3DFE8"/>
              <w:right w:val="single" w:sz="4" w:color="E3DFE8"/>
            </w:tcBorders>
          </w:tcPr>
          <w:p>
            <w:pPr>
              <w:spacing w:after="80"/>
            </w:pPr>
            <w:r>
              <w:rPr>
                <w:rFonts w:ascii="Lato" w:hAnsi="Lato"/>
                <w:b/>
                <w:color w:val="211E28"/>
                <w:sz w:val="22"/>
              </w:rPr>
              <w:t>Publishing note</w:t>
            </w:r>
          </w:p>
          <w:p>
            <w:pPr>
              <w:spacing w:after="0"/>
            </w:pPr>
            <w:r>
              <w:rPr>
                <w:rFonts w:ascii="Lato" w:hAnsi="Lato"/>
                <w:color w:val="6B6773"/>
                <w:sz w:val="20"/>
              </w:rPr>
              <w:t>For the website case-study page, keep the strongest headline figures above the fold, then use the methodology and diagnostic caveats below them. This preserves credibility while making the story easy to scan.</w:t>
            </w:r>
          </w:p>
        </w:tc>
        <w:trPr>
          <w:tblHeader/>
        </w:trPr>
      </w:tr>
    </w:tbl>
    <w:p>
      <w:pPr>
        <w:spacing w:after="60"/>
      </w:pPr>
    </w:p>
    <w:p>
      <w:r>
        <w:br w:type="page"/>
      </w:r>
    </w:p>
    <w:p>
      <w:pPr>
        <w:keepNext/>
        <w:spacing w:after="80"/>
      </w:pPr>
      <w:r>
        <w:rPr>
          <w:rFonts w:ascii="Lato" w:hAnsi="Lato"/>
          <w:b/>
          <w:color w:val="7558FF"/>
          <w:sz w:val="17"/>
        </w:rPr>
        <w:t>11 / METHODOLOGY</w:t>
      </w:r>
    </w:p>
    <w:p>
      <w:pPr>
        <w:keepNext/>
        <w:spacing w:before="60" w:after="100"/>
      </w:pPr>
      <w:r>
        <w:rPr>
          <w:rFonts w:ascii="Lato" w:hAnsi="Lato"/>
          <w:b/>
          <w:color w:val="17141F"/>
          <w:sz w:val="48"/>
        </w:rPr>
        <w:t>How the numbers were interpreted</w:t>
      </w:r>
    </w:p>
    <w:p>
      <w:pPr>
        <w:keepNext/>
        <w:spacing w:after="200"/>
      </w:pPr>
      <w:r>
        <w:rPr>
          <w:rFonts w:ascii="Lato" w:hAnsi="Lato"/>
          <w:color w:val="6B6773"/>
          <w:sz w:val="21"/>
        </w:rPr>
        <w:t>This case study is intentionally source-bound: every headline result below comes from the client-provided SEO, AEO or GEO reports supplied for the engagement.</w:t>
      </w:r>
    </w:p>
    <w:p>
      <w:pPr>
        <w:keepNext/>
        <w:spacing w:before="60" w:after="100"/>
      </w:pPr>
      <w:r>
        <w:rPr>
          <w:rFonts w:ascii="Lato" w:hAnsi="Lato"/>
          <w:b/>
          <w:color w:val="211E28"/>
          <w:sz w:val="30"/>
        </w:rPr>
        <w:t>Source set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19"/>
        </w:rPr>
        <w:t>SEO reports: 7 July 2026, 3 August 2026 and 7 September 2026.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19"/>
        </w:rPr>
        <w:t>AEO / AEO + GEO reports: 9 June 2026, 7 July 2026 and 7 September 2026.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19"/>
        </w:rPr>
        <w:t>GEO reports: 7 July 2026 and 7 September 2026.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19"/>
        </w:rPr>
        <w:t>Total supplied source documents: 9 reports covering June–September 2026.</w:t>
      </w:r>
    </w:p>
    <w:p>
      <w:pPr>
        <w:keepNext/>
        <w:spacing w:before="60" w:after="100"/>
      </w:pPr>
      <w:r>
        <w:rPr>
          <w:rFonts w:ascii="Lato" w:hAnsi="Lato"/>
          <w:b/>
          <w:color w:val="211E28"/>
          <w:sz w:val="30"/>
        </w:rPr>
        <w:t>Interpretation rules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19"/>
        </w:rPr>
        <w:t>Where report screenshots use relative-period comparisons (for example, +89% clicks), the wording is retained as a report-reported change and not recalculated from an unseen baseline.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19"/>
        </w:rPr>
        <w:t>Keyword movement is calculated only where the same query appears in both the August 3 and September 7 SEO reports.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19"/>
        </w:rPr>
        <w:t>The 17 / 30 page-1 figure is a direct count across the 10-keyword Saudi, Oman and UAE tables shown in the September SEO report.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19"/>
        </w:rPr>
        <w:t>AEO and GEO diagnostic scores are reported as the source reports define them; they should be treated as program-specific visibility indicators, not industry-standard rankings.</w:t>
      </w:r>
    </w:p>
    <w:p>
      <w:pPr>
        <w:pStyle w:val="ListBullet"/>
        <w:spacing w:after="80" w:line="252" w:lineRule="auto"/>
        <w:ind w:left="259" w:hanging="173"/>
      </w:pPr>
      <w:r>
        <w:rPr>
          <w:rFonts w:ascii="Lato" w:hAnsi="Lato"/>
          <w:color w:val="211E28"/>
          <w:sz w:val="19"/>
        </w:rPr>
        <w:t>No lead, revenue or conversion lift is claimed because the supplied reports do not establish a direct causal measurement for those outcomes.</w:t>
      </w:r>
    </w:p>
    <w:p>
      <w:pPr>
        <w:keepNext/>
        <w:spacing w:before="60" w:after="100"/>
      </w:pPr>
      <w:r>
        <w:rPr>
          <w:rFonts w:ascii="Lato" w:hAnsi="Lato"/>
          <w:b/>
          <w:color w:val="211E28"/>
          <w:sz w:val="30"/>
        </w:rPr>
        <w:t>External context used for positioning</w:t>
      </w:r>
    </w:p>
    <w:p>
      <w:pPr>
        <w:spacing w:before="0" w:after="140" w:line="259" w:lineRule="auto"/>
        <w:jc w:val="left"/>
      </w:pPr>
      <w:r>
        <w:rPr>
          <w:rFonts w:ascii="Lato" w:hAnsi="Lato"/>
          <w:b w:val="0"/>
          <w:color w:val="6B6773"/>
          <w:sz w:val="19"/>
        </w:rPr>
        <w:t>The current Muse Platforms site describes Generative AI Search Engine Optimization as an emerging practice for adapting discovery to evolving search behavior, while the Ajaleen site presents the firm as a legal and intellectual property practice serving the GCC. Those descriptions provide contextual framing only; the performance claims in this document come from the supplied reports.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2448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8"/>
              </w:rPr>
              <w:t>Source</w:t>
            </w:r>
          </w:p>
        </w:tc>
        <w:tc>
          <w:tcPr>
            <w:tcW w:type="dxa" w:w="7416"/>
            <w:shd w:fill="17141F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/>
                <w:color w:val="FFFFFF"/>
                <w:sz w:val="18"/>
              </w:rPr>
              <w:t>URL</w:t>
            </w:r>
          </w:p>
        </w:tc>
      </w:tr>
      <w:tr>
        <w:trPr>
          <w:cantSplit/>
        </w:trPr>
        <w:tc>
          <w:tcPr>
            <w:tcW w:type="dxa" w:w="2448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8"/>
              </w:rPr>
              <w:t>Muse Platforms</w:t>
            </w:r>
          </w:p>
        </w:tc>
        <w:tc>
          <w:tcPr>
            <w:tcW w:type="dxa" w:w="7416"/>
            <w:tcMar>
              <w:top w:w="95" w:type="dxa"/>
              <w:start w:w="100" w:type="dxa"/>
              <w:bottom w:w="95" w:type="dxa"/>
              <w:end w:w="100" w:type="dxa"/>
            </w:tcMar>
            <w:shd w:fill="FAFAFC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8"/>
              </w:rPr>
              <w:t>https://museplatforms.com/</w:t>
            </w:r>
          </w:p>
        </w:tc>
      </w:tr>
      <w:tr>
        <w:trPr>
          <w:cantSplit/>
        </w:trPr>
        <w:tc>
          <w:tcPr>
            <w:tcW w:type="dxa" w:w="2448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8"/>
              </w:rPr>
              <w:t>Ajaleen</w:t>
            </w:r>
          </w:p>
        </w:tc>
        <w:tc>
          <w:tcPr>
            <w:tcW w:type="dxa" w:w="7416"/>
            <w:tcMar>
              <w:top w:w="95" w:type="dxa"/>
              <w:start w:w="100" w:type="dxa"/>
              <w:bottom w:w="95" w:type="dxa"/>
              <w:end w:w="100" w:type="dxa"/>
            </w:tcMar>
            <w:shd w:fill="FFFFFF"/>
            <w:tcBorders>
              <w:top w:val="single" w:sz="4" w:color="E3DFE8"/>
              <w:left w:val="single" w:sz="4" w:color="E3DFE8"/>
              <w:bottom w:val="single" w:sz="4" w:color="E3DFE8"/>
              <w:right w:val="single" w:sz="4" w:color="E3DFE8"/>
            </w:tcBorders>
          </w:tcPr>
          <w:p>
            <w:pPr>
              <w:spacing w:after="0"/>
              <w:jc w:val="left"/>
            </w:pPr>
            <w:r/>
            <w:r>
              <w:rPr>
                <w:rFonts w:ascii="Lato" w:hAnsi="Lato"/>
                <w:b w:val="0"/>
                <w:color w:val="211E28"/>
                <w:sz w:val="18"/>
              </w:rPr>
              <w:t>https://ajaleen.com/</w:t>
            </w:r>
          </w:p>
        </w:tc>
      </w:tr>
    </w:tbl>
    <w:p>
      <w:pPr>
        <w:spacing w:after="40"/>
      </w:pPr>
    </w:p>
    <w:p>
      <w:pPr>
        <w:spacing w:before="0" w:after="0" w:line="259" w:lineRule="auto"/>
        <w:jc w:val="center"/>
      </w:pPr>
      <w:r>
        <w:rPr>
          <w:rFonts w:ascii="Lato" w:hAnsi="Lato"/>
          <w:b w:val="0"/>
          <w:color w:val="6B6773"/>
          <w:sz w:val="16"/>
        </w:rPr>
        <w:t>Prepared as a web-ready case study document for Muse Platforms. Data window represented: June–September 2026.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792" w:left="1037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ato" w:hAnsi="Lato"/>
        <w:color w:val="6B6773"/>
        <w:sz w:val="14"/>
      </w:rPr>
      <w:t>Prepared for Muse Platforms  |  Al-Ajaleen  |  SEO + AEO + GEO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4932"/>
      <w:gridCol w:w="4932"/>
    </w:tblGrid>
    <w:tr>
      <w:tc>
        <w:tcPr>
          <w:tcW w:type="dxa" w:w="5040"/>
          <w:tcBorders>
            <w:bottom w:val="single" w:sz="7" w:color="E3DFE8"/>
          </w:tcBorders>
        </w:tcPr>
        <w:p>
          <w:pPr>
            <w:spacing w:after="0"/>
          </w:pPr>
          <w:r/>
          <w:r>
            <w:rPr>
              <w:rFonts w:ascii="Lato" w:hAnsi="Lato"/>
              <w:b/>
              <w:color w:val="7558FF"/>
              <w:sz w:val="17"/>
            </w:rPr>
            <w:t>MUSE PLATFORMS</w:t>
          </w:r>
          <w:r>
            <w:rPr>
              <w:rFonts w:ascii="Lato" w:hAnsi="Lato"/>
              <w:color w:val="6B6773"/>
              <w:sz w:val="16"/>
            </w:rPr>
            <w:t xml:space="preserve">  |  CASE STUDY</w:t>
          </w:r>
        </w:p>
      </w:tc>
      <w:tc>
        <w:tcPr>
          <w:tcW w:type="dxa" w:w="4680"/>
          <w:tcBorders>
            <w:bottom w:val="single" w:sz="7" w:color="E3DFE8"/>
          </w:tcBorders>
        </w:tcPr>
        <w:p>
          <w:pPr>
            <w:spacing w:after="0"/>
            <w:jc w:val="right"/>
          </w:pPr>
          <w:r/>
          <w:r>
            <w:drawing>
              <wp:inline xmlns:a="http://schemas.openxmlformats.org/drawingml/2006/main" xmlns:pic="http://schemas.openxmlformats.org/drawingml/2006/picture">
                <wp:extent cx="1005840" cy="442570"/>
                <wp:docPr id="1" name="Picture 1" descr="Image: item1.xml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jaleen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5840" cy="44257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rPr>
        <w:tblHeader/>
      </w:trPr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ato" w:hAnsi="Lato"/>
      <w:color w:val="211E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ato" w:hAnsi="Lato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1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Al-Ajaleen SEO, AEO &amp; GEO Case Study</dc:title>
  <dc:subject>Muse Platforms case study</dc:subject>
  <dc:creator>Muse Platforms</dc:creator>
  <cp:keywords>Al-Ajaleen, SEO, AEO, GEO, AI search, case study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